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EFA41" w14:textId="77777777" w:rsidR="000B60FC" w:rsidRDefault="000B60FC" w:rsidP="00B4130A">
      <w:pPr>
        <w:spacing w:after="0" w:line="240" w:lineRule="auto"/>
        <w:jc w:val="center"/>
        <w:rPr>
          <w:rFonts w:ascii="Arial" w:hAnsi="Arial" w:cs="Arial"/>
          <w:b/>
        </w:rPr>
      </w:pPr>
    </w:p>
    <w:p w14:paraId="41435BAA" w14:textId="77777777" w:rsidR="00B4130A" w:rsidRDefault="00B4130A" w:rsidP="00B4130A">
      <w:pPr>
        <w:spacing w:after="0" w:line="240" w:lineRule="auto"/>
        <w:jc w:val="center"/>
        <w:rPr>
          <w:rFonts w:ascii="Arial" w:hAnsi="Arial" w:cs="Arial"/>
          <w:b/>
        </w:rPr>
      </w:pPr>
      <w:r>
        <w:rPr>
          <w:rFonts w:ascii="Arial" w:hAnsi="Arial" w:cs="Arial"/>
          <w:b/>
        </w:rPr>
        <w:t>EXECUTIVE SUMMARY</w:t>
      </w:r>
    </w:p>
    <w:p w14:paraId="5020709C" w14:textId="77777777" w:rsidR="00B4130A" w:rsidRDefault="00B4130A" w:rsidP="00B4130A">
      <w:pPr>
        <w:spacing w:after="0" w:line="240" w:lineRule="auto"/>
        <w:rPr>
          <w:rFonts w:ascii="Arial" w:hAnsi="Arial" w:cs="Arial"/>
          <w:b/>
          <w:sz w:val="20"/>
          <w:szCs w:val="20"/>
        </w:rPr>
      </w:pPr>
    </w:p>
    <w:p w14:paraId="078CE113" w14:textId="77777777" w:rsidR="00B4130A" w:rsidRDefault="00B4130A" w:rsidP="00B4130A">
      <w:pPr>
        <w:spacing w:after="0" w:line="240" w:lineRule="auto"/>
        <w:rPr>
          <w:rFonts w:ascii="Arial" w:hAnsi="Arial" w:cs="Arial"/>
          <w:b/>
          <w:sz w:val="20"/>
          <w:szCs w:val="20"/>
        </w:rPr>
      </w:pPr>
    </w:p>
    <w:p w14:paraId="42A3458F" w14:textId="77777777" w:rsidR="00B4130A" w:rsidRDefault="00B4130A" w:rsidP="00B4130A">
      <w:pPr>
        <w:spacing w:after="0" w:line="240" w:lineRule="auto"/>
        <w:rPr>
          <w:rFonts w:ascii="Arial" w:hAnsi="Arial" w:cs="Arial"/>
          <w:b/>
        </w:rPr>
      </w:pPr>
      <w:r>
        <w:rPr>
          <w:rFonts w:ascii="Arial" w:hAnsi="Arial" w:cs="Arial"/>
          <w:b/>
        </w:rPr>
        <w:t>INTRODUCTION</w:t>
      </w:r>
    </w:p>
    <w:p w14:paraId="0CB04682" w14:textId="77777777" w:rsidR="00B4130A" w:rsidRDefault="00B4130A" w:rsidP="00B4130A">
      <w:pPr>
        <w:pStyle w:val="ListParagraph"/>
        <w:ind w:left="0" w:firstLine="720"/>
        <w:jc w:val="both"/>
        <w:rPr>
          <w:rFonts w:ascii="Arial" w:eastAsia="Calibri" w:hAnsi="Arial" w:cs="Arial"/>
          <w:sz w:val="20"/>
          <w:szCs w:val="20"/>
        </w:rPr>
      </w:pPr>
    </w:p>
    <w:p w14:paraId="618DAE9C" w14:textId="77777777" w:rsidR="00B4130A" w:rsidRPr="005C25FF" w:rsidRDefault="00B4130A" w:rsidP="005C25FF">
      <w:pPr>
        <w:spacing w:after="0" w:line="240" w:lineRule="auto"/>
        <w:jc w:val="both"/>
        <w:rPr>
          <w:rFonts w:ascii="Arial" w:hAnsi="Arial" w:cs="Arial"/>
        </w:rPr>
      </w:pPr>
      <w:r w:rsidRPr="005C25FF">
        <w:rPr>
          <w:rFonts w:ascii="Arial" w:hAnsi="Arial" w:cs="Arial"/>
        </w:rPr>
        <w:t>The Philippine Charity Sweepstakes Office (PCSO) is the principal government agency for raising and providing funds for health programs, medical assistance and services, and charities of national character.  It was created under Philippine Legislature Act No. 4130 on October 30, 1934 and lat</w:t>
      </w:r>
      <w:r w:rsidR="009113C0" w:rsidRPr="005C25FF">
        <w:rPr>
          <w:rFonts w:ascii="Arial" w:hAnsi="Arial" w:cs="Arial"/>
        </w:rPr>
        <w:t xml:space="preserve">er amended by Republic Act </w:t>
      </w:r>
      <w:r w:rsidRPr="005C25FF">
        <w:rPr>
          <w:rFonts w:ascii="Arial" w:hAnsi="Arial" w:cs="Arial"/>
        </w:rPr>
        <w:t xml:space="preserve">No. 1169 in 1954 and Batas Pambansa </w:t>
      </w:r>
      <w:proofErr w:type="spellStart"/>
      <w:r w:rsidRPr="005C25FF">
        <w:rPr>
          <w:rFonts w:ascii="Arial" w:hAnsi="Arial" w:cs="Arial"/>
        </w:rPr>
        <w:t>Blg</w:t>
      </w:r>
      <w:proofErr w:type="spellEnd"/>
      <w:r w:rsidRPr="005C25FF">
        <w:rPr>
          <w:rFonts w:ascii="Arial" w:hAnsi="Arial" w:cs="Arial"/>
        </w:rPr>
        <w:t xml:space="preserve">. 42 on September 24, 1979.  </w:t>
      </w:r>
    </w:p>
    <w:p w14:paraId="13707828" w14:textId="77777777" w:rsidR="00B4130A" w:rsidRPr="005C25FF" w:rsidRDefault="00B4130A" w:rsidP="005C25FF">
      <w:pPr>
        <w:spacing w:after="0" w:line="240" w:lineRule="auto"/>
        <w:rPr>
          <w:rFonts w:ascii="Arial" w:hAnsi="Arial" w:cs="Arial"/>
        </w:rPr>
      </w:pPr>
    </w:p>
    <w:p w14:paraId="5CBE5612" w14:textId="77777777" w:rsidR="00B4130A" w:rsidRPr="005C25FF" w:rsidRDefault="00B4130A" w:rsidP="005C25FF">
      <w:pPr>
        <w:spacing w:after="0" w:line="240" w:lineRule="auto"/>
        <w:jc w:val="both"/>
        <w:rPr>
          <w:rFonts w:ascii="Arial" w:hAnsi="Arial" w:cs="Arial"/>
        </w:rPr>
      </w:pPr>
      <w:r w:rsidRPr="005C25FF">
        <w:rPr>
          <w:rFonts w:ascii="Arial" w:hAnsi="Arial" w:cs="Arial"/>
        </w:rPr>
        <w:t xml:space="preserve">The main programs of the PCSO consist of endowment fund/quality health care, individual medical assistance, community outreach, ambulance donation, national calamity and disaster program, and hospital renovation and improvement of health care facilities. It also gives mandatory contributions to various agencies and institutions and extends regular contributions to charitable institutions engaged in giving welfare services to the children and youth who are either abandoned or exploited, the elderly, and the physically and mentally handicapped, among others. </w:t>
      </w:r>
    </w:p>
    <w:p w14:paraId="0CF8CB95" w14:textId="77777777" w:rsidR="00B4130A" w:rsidRPr="005C25FF" w:rsidRDefault="00B4130A" w:rsidP="005C25FF">
      <w:pPr>
        <w:spacing w:after="0" w:line="240" w:lineRule="auto"/>
        <w:jc w:val="both"/>
        <w:rPr>
          <w:rFonts w:ascii="Arial" w:hAnsi="Arial" w:cs="Arial"/>
        </w:rPr>
      </w:pPr>
    </w:p>
    <w:p w14:paraId="3FA6BAD7" w14:textId="77777777" w:rsidR="00B4130A" w:rsidRPr="005C25FF" w:rsidRDefault="00B4130A" w:rsidP="005C25FF">
      <w:pPr>
        <w:spacing w:after="0" w:line="240" w:lineRule="auto"/>
        <w:jc w:val="both"/>
        <w:rPr>
          <w:rFonts w:ascii="Arial" w:hAnsi="Arial" w:cs="Arial"/>
        </w:rPr>
      </w:pPr>
      <w:r w:rsidRPr="005C25FF">
        <w:rPr>
          <w:rFonts w:ascii="Arial" w:hAnsi="Arial" w:cs="Arial"/>
        </w:rPr>
        <w:t>The PCSO holds and conducts charity sweepstakes, races and lotteries and engages in health and welfare-related investments, projects, and activities to provide for permanent and continuing sources of funds for its programs. Other activities to enhance and expand such fund-generating operations as well as strengthen its fund-management capabilities are also being undertaken by the Agency.</w:t>
      </w:r>
    </w:p>
    <w:p w14:paraId="7A5AAE48" w14:textId="77777777" w:rsidR="00B4130A" w:rsidRPr="005C25FF" w:rsidRDefault="00B4130A" w:rsidP="005C25FF">
      <w:pPr>
        <w:spacing w:after="0" w:line="240" w:lineRule="auto"/>
        <w:rPr>
          <w:rFonts w:ascii="Arial" w:hAnsi="Arial" w:cs="Arial"/>
        </w:rPr>
      </w:pPr>
    </w:p>
    <w:p w14:paraId="03DCFABE" w14:textId="77777777" w:rsidR="00B4130A" w:rsidRPr="005C25FF" w:rsidRDefault="003D767B" w:rsidP="005C25FF">
      <w:pPr>
        <w:spacing w:after="0" w:line="240" w:lineRule="auto"/>
        <w:jc w:val="both"/>
        <w:rPr>
          <w:rFonts w:ascii="Arial" w:hAnsi="Arial" w:cs="Arial"/>
        </w:rPr>
      </w:pPr>
      <w:r w:rsidRPr="005C25FF">
        <w:rPr>
          <w:rFonts w:ascii="Arial" w:hAnsi="Arial" w:cs="Arial"/>
        </w:rPr>
        <w:t>As of December 31, 2022</w:t>
      </w:r>
      <w:r w:rsidR="009113C0" w:rsidRPr="005C25FF">
        <w:rPr>
          <w:rFonts w:ascii="Arial" w:hAnsi="Arial" w:cs="Arial"/>
        </w:rPr>
        <w:t>, the Board of Directors</w:t>
      </w:r>
      <w:r w:rsidR="00B4130A" w:rsidRPr="005C25FF">
        <w:rPr>
          <w:rFonts w:ascii="Arial" w:hAnsi="Arial" w:cs="Arial"/>
        </w:rPr>
        <w:t xml:space="preserve"> of the PCSO is composed of the following: </w:t>
      </w:r>
    </w:p>
    <w:p w14:paraId="4F8C04CB" w14:textId="77777777" w:rsidR="003D767B" w:rsidRPr="005C25FF" w:rsidRDefault="003D767B" w:rsidP="005C25FF">
      <w:pPr>
        <w:spacing w:after="0" w:line="240" w:lineRule="auto"/>
        <w:ind w:right="2340" w:firstLine="720"/>
        <w:jc w:val="both"/>
        <w:rPr>
          <w:rFonts w:ascii="Arial" w:hAnsi="Arial" w:cs="Arial"/>
        </w:rPr>
      </w:pPr>
    </w:p>
    <w:tbl>
      <w:tblPr>
        <w:tblStyle w:val="TableGrid"/>
        <w:tblW w:w="783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270"/>
        <w:gridCol w:w="4230"/>
      </w:tblGrid>
      <w:tr w:rsidR="003D767B" w:rsidRPr="005C25FF" w14:paraId="21CB4032" w14:textId="77777777" w:rsidTr="001359C7">
        <w:tc>
          <w:tcPr>
            <w:tcW w:w="3330" w:type="dxa"/>
          </w:tcPr>
          <w:p w14:paraId="49A0BB4F" w14:textId="77777777" w:rsidR="003D767B" w:rsidRPr="005C25FF" w:rsidRDefault="003D767B" w:rsidP="005C25FF">
            <w:pPr>
              <w:spacing w:after="0" w:line="240" w:lineRule="auto"/>
              <w:ind w:right="1062"/>
              <w:rPr>
                <w:rFonts w:ascii="Arial" w:hAnsi="Arial" w:cs="Arial"/>
                <w:sz w:val="22"/>
                <w:szCs w:val="22"/>
              </w:rPr>
            </w:pPr>
            <w:r w:rsidRPr="005C25FF">
              <w:rPr>
                <w:rFonts w:ascii="Arial" w:hAnsi="Arial" w:cs="Arial"/>
                <w:sz w:val="22"/>
                <w:szCs w:val="22"/>
              </w:rPr>
              <w:t>Junie E. Cua</w:t>
            </w:r>
          </w:p>
        </w:tc>
        <w:tc>
          <w:tcPr>
            <w:tcW w:w="270" w:type="dxa"/>
          </w:tcPr>
          <w:p w14:paraId="363E9E31" w14:textId="77777777" w:rsidR="003D767B" w:rsidRPr="005C25FF" w:rsidRDefault="003D767B" w:rsidP="005C25FF">
            <w:pPr>
              <w:spacing w:after="0" w:line="240" w:lineRule="auto"/>
              <w:ind w:right="2340"/>
              <w:jc w:val="both"/>
              <w:rPr>
                <w:rFonts w:ascii="Arial" w:hAnsi="Arial" w:cs="Arial"/>
                <w:sz w:val="22"/>
                <w:szCs w:val="22"/>
              </w:rPr>
            </w:pPr>
            <w:r w:rsidRPr="005C25FF">
              <w:rPr>
                <w:rFonts w:ascii="Arial" w:hAnsi="Arial" w:cs="Arial"/>
                <w:sz w:val="22"/>
                <w:szCs w:val="22"/>
              </w:rPr>
              <w:t>-</w:t>
            </w:r>
          </w:p>
        </w:tc>
        <w:tc>
          <w:tcPr>
            <w:tcW w:w="4230" w:type="dxa"/>
          </w:tcPr>
          <w:p w14:paraId="1B478523" w14:textId="77777777" w:rsidR="003D767B" w:rsidRPr="005C25FF" w:rsidRDefault="003D767B" w:rsidP="005C25FF">
            <w:pPr>
              <w:spacing w:after="0" w:line="240" w:lineRule="auto"/>
              <w:ind w:right="342"/>
              <w:jc w:val="both"/>
              <w:rPr>
                <w:rFonts w:ascii="Arial" w:hAnsi="Arial" w:cs="Arial"/>
                <w:sz w:val="22"/>
                <w:szCs w:val="22"/>
              </w:rPr>
            </w:pPr>
            <w:r w:rsidRPr="005C25FF">
              <w:rPr>
                <w:rFonts w:ascii="Arial" w:hAnsi="Arial" w:cs="Arial"/>
                <w:sz w:val="22"/>
                <w:szCs w:val="22"/>
              </w:rPr>
              <w:t>Chairman</w:t>
            </w:r>
          </w:p>
        </w:tc>
      </w:tr>
      <w:tr w:rsidR="003D767B" w:rsidRPr="005C25FF" w14:paraId="0CCD39F2" w14:textId="77777777" w:rsidTr="001359C7">
        <w:tc>
          <w:tcPr>
            <w:tcW w:w="3330" w:type="dxa"/>
          </w:tcPr>
          <w:p w14:paraId="0D6A85A6" w14:textId="77777777" w:rsidR="003D767B" w:rsidRPr="005C25FF" w:rsidRDefault="003D767B" w:rsidP="005C25FF">
            <w:pPr>
              <w:spacing w:after="0" w:line="240" w:lineRule="auto"/>
              <w:ind w:right="72"/>
              <w:jc w:val="both"/>
              <w:rPr>
                <w:rFonts w:ascii="Arial" w:hAnsi="Arial" w:cs="Arial"/>
                <w:sz w:val="22"/>
                <w:szCs w:val="22"/>
              </w:rPr>
            </w:pPr>
            <w:r w:rsidRPr="005C25FF">
              <w:rPr>
                <w:rFonts w:ascii="Arial" w:hAnsi="Arial" w:cs="Arial"/>
                <w:sz w:val="22"/>
                <w:szCs w:val="22"/>
              </w:rPr>
              <w:t>Melquiades A. Robles</w:t>
            </w:r>
          </w:p>
        </w:tc>
        <w:tc>
          <w:tcPr>
            <w:tcW w:w="270" w:type="dxa"/>
          </w:tcPr>
          <w:p w14:paraId="4A95EFB8" w14:textId="77777777" w:rsidR="003D767B" w:rsidRPr="005C25FF" w:rsidRDefault="003D767B" w:rsidP="005C25FF">
            <w:pPr>
              <w:spacing w:after="0" w:line="240" w:lineRule="auto"/>
              <w:ind w:right="2340"/>
              <w:jc w:val="both"/>
              <w:rPr>
                <w:rFonts w:ascii="Arial" w:hAnsi="Arial" w:cs="Arial"/>
                <w:sz w:val="22"/>
                <w:szCs w:val="22"/>
              </w:rPr>
            </w:pPr>
            <w:r w:rsidRPr="005C25FF">
              <w:rPr>
                <w:rFonts w:ascii="Arial" w:hAnsi="Arial" w:cs="Arial"/>
                <w:sz w:val="22"/>
                <w:szCs w:val="22"/>
              </w:rPr>
              <w:t>-</w:t>
            </w:r>
          </w:p>
        </w:tc>
        <w:tc>
          <w:tcPr>
            <w:tcW w:w="4230" w:type="dxa"/>
          </w:tcPr>
          <w:p w14:paraId="751A4B72" w14:textId="77777777" w:rsidR="003D767B" w:rsidRPr="005C25FF" w:rsidRDefault="003D767B" w:rsidP="005C25FF">
            <w:pPr>
              <w:spacing w:after="0" w:line="240" w:lineRule="auto"/>
              <w:ind w:right="162"/>
              <w:jc w:val="both"/>
              <w:rPr>
                <w:rFonts w:ascii="Arial" w:hAnsi="Arial" w:cs="Arial"/>
                <w:sz w:val="22"/>
                <w:szCs w:val="22"/>
              </w:rPr>
            </w:pPr>
            <w:r w:rsidRPr="005C25FF">
              <w:rPr>
                <w:rFonts w:ascii="Arial" w:hAnsi="Arial" w:cs="Arial"/>
                <w:sz w:val="22"/>
                <w:szCs w:val="22"/>
              </w:rPr>
              <w:t>Vice Chairman and General Manager</w:t>
            </w:r>
          </w:p>
        </w:tc>
      </w:tr>
      <w:tr w:rsidR="003D767B" w:rsidRPr="005C25FF" w14:paraId="2F62C688" w14:textId="77777777" w:rsidTr="001359C7">
        <w:tc>
          <w:tcPr>
            <w:tcW w:w="3330" w:type="dxa"/>
          </w:tcPr>
          <w:p w14:paraId="3834B130" w14:textId="77777777" w:rsidR="003D767B" w:rsidRPr="005C25FF" w:rsidRDefault="003D767B" w:rsidP="005C25FF">
            <w:pPr>
              <w:spacing w:after="0" w:line="240" w:lineRule="auto"/>
              <w:ind w:right="72"/>
              <w:jc w:val="both"/>
              <w:rPr>
                <w:rFonts w:ascii="Arial" w:hAnsi="Arial" w:cs="Arial"/>
                <w:sz w:val="22"/>
                <w:szCs w:val="22"/>
              </w:rPr>
            </w:pPr>
            <w:r w:rsidRPr="005C25FF">
              <w:rPr>
                <w:rFonts w:ascii="Arial" w:hAnsi="Arial" w:cs="Arial"/>
                <w:sz w:val="22"/>
                <w:szCs w:val="22"/>
              </w:rPr>
              <w:t xml:space="preserve">Jennifer E. </w:t>
            </w:r>
            <w:proofErr w:type="spellStart"/>
            <w:r w:rsidRPr="005C25FF">
              <w:rPr>
                <w:rFonts w:ascii="Arial" w:hAnsi="Arial" w:cs="Arial"/>
                <w:sz w:val="22"/>
                <w:szCs w:val="22"/>
              </w:rPr>
              <w:t>Liong</w:t>
            </w:r>
            <w:r w:rsidR="001359C7" w:rsidRPr="005C25FF">
              <w:rPr>
                <w:rFonts w:ascii="Arial" w:hAnsi="Arial" w:cs="Arial"/>
                <w:sz w:val="22"/>
                <w:szCs w:val="22"/>
              </w:rPr>
              <w:t>son</w:t>
            </w:r>
            <w:proofErr w:type="spellEnd"/>
            <w:r w:rsidR="001359C7" w:rsidRPr="005C25FF">
              <w:rPr>
                <w:rFonts w:ascii="Arial" w:hAnsi="Arial" w:cs="Arial"/>
                <w:sz w:val="22"/>
                <w:szCs w:val="22"/>
              </w:rPr>
              <w:t>-Guevara</w:t>
            </w:r>
          </w:p>
        </w:tc>
        <w:tc>
          <w:tcPr>
            <w:tcW w:w="270" w:type="dxa"/>
          </w:tcPr>
          <w:p w14:paraId="587E41B9" w14:textId="77777777" w:rsidR="003D767B" w:rsidRPr="005C25FF" w:rsidRDefault="001359C7" w:rsidP="005C25FF">
            <w:pPr>
              <w:spacing w:after="0" w:line="240" w:lineRule="auto"/>
              <w:ind w:right="2340"/>
              <w:jc w:val="both"/>
              <w:rPr>
                <w:rFonts w:ascii="Arial" w:hAnsi="Arial" w:cs="Arial"/>
                <w:sz w:val="22"/>
                <w:szCs w:val="22"/>
              </w:rPr>
            </w:pPr>
            <w:r w:rsidRPr="005C25FF">
              <w:rPr>
                <w:rFonts w:ascii="Arial" w:hAnsi="Arial" w:cs="Arial"/>
                <w:sz w:val="22"/>
                <w:szCs w:val="22"/>
              </w:rPr>
              <w:t>-</w:t>
            </w:r>
          </w:p>
        </w:tc>
        <w:tc>
          <w:tcPr>
            <w:tcW w:w="4230" w:type="dxa"/>
          </w:tcPr>
          <w:p w14:paraId="7EAC3463" w14:textId="77777777" w:rsidR="003D767B" w:rsidRPr="005C25FF" w:rsidRDefault="001359C7" w:rsidP="005C25FF">
            <w:pPr>
              <w:spacing w:after="0" w:line="240" w:lineRule="auto"/>
              <w:ind w:right="2340"/>
              <w:jc w:val="both"/>
              <w:rPr>
                <w:rFonts w:ascii="Arial" w:hAnsi="Arial" w:cs="Arial"/>
                <w:sz w:val="22"/>
                <w:szCs w:val="22"/>
              </w:rPr>
            </w:pPr>
            <w:r w:rsidRPr="005C25FF">
              <w:rPr>
                <w:rFonts w:ascii="Arial" w:hAnsi="Arial" w:cs="Arial"/>
                <w:sz w:val="22"/>
                <w:szCs w:val="22"/>
              </w:rPr>
              <w:t>Member</w:t>
            </w:r>
          </w:p>
        </w:tc>
      </w:tr>
      <w:tr w:rsidR="003D767B" w:rsidRPr="005C25FF" w14:paraId="3166286E" w14:textId="77777777" w:rsidTr="001359C7">
        <w:tc>
          <w:tcPr>
            <w:tcW w:w="3330" w:type="dxa"/>
          </w:tcPr>
          <w:p w14:paraId="7B671FF3" w14:textId="77777777" w:rsidR="003D767B" w:rsidRPr="005C25FF" w:rsidRDefault="001359C7" w:rsidP="005C25FF">
            <w:pPr>
              <w:spacing w:after="0" w:line="240" w:lineRule="auto"/>
              <w:ind w:right="-18"/>
              <w:jc w:val="both"/>
              <w:rPr>
                <w:rFonts w:ascii="Arial" w:hAnsi="Arial" w:cs="Arial"/>
                <w:sz w:val="22"/>
                <w:szCs w:val="22"/>
              </w:rPr>
            </w:pPr>
            <w:r w:rsidRPr="005C25FF">
              <w:rPr>
                <w:rFonts w:ascii="Arial" w:hAnsi="Arial" w:cs="Arial"/>
                <w:sz w:val="22"/>
                <w:szCs w:val="22"/>
              </w:rPr>
              <w:t>Judge Felix P. Reyes (Ret.)</w:t>
            </w:r>
          </w:p>
        </w:tc>
        <w:tc>
          <w:tcPr>
            <w:tcW w:w="270" w:type="dxa"/>
          </w:tcPr>
          <w:p w14:paraId="3E41B798" w14:textId="77777777" w:rsidR="003D767B" w:rsidRPr="005C25FF" w:rsidRDefault="001359C7" w:rsidP="005C25FF">
            <w:pPr>
              <w:spacing w:after="0" w:line="240" w:lineRule="auto"/>
              <w:ind w:right="2340"/>
              <w:jc w:val="both"/>
              <w:rPr>
                <w:rFonts w:ascii="Arial" w:hAnsi="Arial" w:cs="Arial"/>
                <w:sz w:val="22"/>
                <w:szCs w:val="22"/>
              </w:rPr>
            </w:pPr>
            <w:r w:rsidRPr="005C25FF">
              <w:rPr>
                <w:rFonts w:ascii="Arial" w:hAnsi="Arial" w:cs="Arial"/>
                <w:sz w:val="22"/>
                <w:szCs w:val="22"/>
              </w:rPr>
              <w:t>-</w:t>
            </w:r>
          </w:p>
        </w:tc>
        <w:tc>
          <w:tcPr>
            <w:tcW w:w="4230" w:type="dxa"/>
          </w:tcPr>
          <w:p w14:paraId="7A2D280B" w14:textId="77777777" w:rsidR="003D767B" w:rsidRPr="005C25FF" w:rsidRDefault="001359C7" w:rsidP="005C25FF">
            <w:pPr>
              <w:spacing w:after="0" w:line="240" w:lineRule="auto"/>
              <w:ind w:right="2340"/>
              <w:jc w:val="both"/>
              <w:rPr>
                <w:rFonts w:ascii="Arial" w:hAnsi="Arial" w:cs="Arial"/>
                <w:sz w:val="22"/>
                <w:szCs w:val="22"/>
              </w:rPr>
            </w:pPr>
            <w:r w:rsidRPr="005C25FF">
              <w:rPr>
                <w:rFonts w:ascii="Arial" w:hAnsi="Arial" w:cs="Arial"/>
                <w:sz w:val="22"/>
                <w:szCs w:val="22"/>
              </w:rPr>
              <w:t>Member</w:t>
            </w:r>
          </w:p>
        </w:tc>
      </w:tr>
      <w:tr w:rsidR="003D767B" w:rsidRPr="005C25FF" w14:paraId="416E6454" w14:textId="77777777" w:rsidTr="001359C7">
        <w:tc>
          <w:tcPr>
            <w:tcW w:w="3330" w:type="dxa"/>
          </w:tcPr>
          <w:p w14:paraId="3729D64F" w14:textId="77777777" w:rsidR="003D767B" w:rsidRPr="005C25FF" w:rsidRDefault="001359C7" w:rsidP="005C25FF">
            <w:pPr>
              <w:spacing w:after="0" w:line="240" w:lineRule="auto"/>
              <w:jc w:val="both"/>
              <w:rPr>
                <w:rFonts w:ascii="Arial" w:hAnsi="Arial" w:cs="Arial"/>
                <w:sz w:val="22"/>
                <w:szCs w:val="22"/>
              </w:rPr>
            </w:pPr>
            <w:r w:rsidRPr="005C25FF">
              <w:rPr>
                <w:rFonts w:ascii="Arial" w:hAnsi="Arial" w:cs="Arial"/>
                <w:sz w:val="22"/>
                <w:szCs w:val="22"/>
              </w:rPr>
              <w:t>Janet De Leon Mercado</w:t>
            </w:r>
          </w:p>
        </w:tc>
        <w:tc>
          <w:tcPr>
            <w:tcW w:w="270" w:type="dxa"/>
          </w:tcPr>
          <w:p w14:paraId="5B0F6013" w14:textId="77777777" w:rsidR="003D767B" w:rsidRPr="005C25FF" w:rsidRDefault="001359C7" w:rsidP="005C25FF">
            <w:pPr>
              <w:spacing w:after="0" w:line="240" w:lineRule="auto"/>
              <w:ind w:right="2340"/>
              <w:jc w:val="both"/>
              <w:rPr>
                <w:rFonts w:ascii="Arial" w:hAnsi="Arial" w:cs="Arial"/>
                <w:sz w:val="22"/>
                <w:szCs w:val="22"/>
              </w:rPr>
            </w:pPr>
            <w:r w:rsidRPr="005C25FF">
              <w:rPr>
                <w:rFonts w:ascii="Arial" w:hAnsi="Arial" w:cs="Arial"/>
                <w:sz w:val="22"/>
                <w:szCs w:val="22"/>
              </w:rPr>
              <w:t>-</w:t>
            </w:r>
          </w:p>
        </w:tc>
        <w:tc>
          <w:tcPr>
            <w:tcW w:w="4230" w:type="dxa"/>
          </w:tcPr>
          <w:p w14:paraId="77E5AEC3" w14:textId="77777777" w:rsidR="003D767B" w:rsidRPr="005C25FF" w:rsidRDefault="001359C7" w:rsidP="005C25FF">
            <w:pPr>
              <w:spacing w:after="0" w:line="240" w:lineRule="auto"/>
              <w:ind w:right="2340"/>
              <w:jc w:val="both"/>
              <w:rPr>
                <w:rFonts w:ascii="Arial" w:hAnsi="Arial" w:cs="Arial"/>
                <w:sz w:val="22"/>
                <w:szCs w:val="22"/>
              </w:rPr>
            </w:pPr>
            <w:r w:rsidRPr="005C25FF">
              <w:rPr>
                <w:rFonts w:ascii="Arial" w:hAnsi="Arial" w:cs="Arial"/>
                <w:sz w:val="22"/>
                <w:szCs w:val="22"/>
              </w:rPr>
              <w:t>Member</w:t>
            </w:r>
          </w:p>
        </w:tc>
      </w:tr>
      <w:tr w:rsidR="003D767B" w:rsidRPr="005C25FF" w14:paraId="353215EA" w14:textId="77777777" w:rsidTr="001359C7">
        <w:tc>
          <w:tcPr>
            <w:tcW w:w="3330" w:type="dxa"/>
          </w:tcPr>
          <w:p w14:paraId="430BBD29" w14:textId="77777777" w:rsidR="003D767B" w:rsidRPr="005C25FF" w:rsidRDefault="00217C74" w:rsidP="005C25FF">
            <w:pPr>
              <w:spacing w:after="0" w:line="240" w:lineRule="auto"/>
              <w:ind w:right="72"/>
              <w:jc w:val="both"/>
              <w:rPr>
                <w:rFonts w:ascii="Arial" w:hAnsi="Arial" w:cs="Arial"/>
                <w:sz w:val="22"/>
                <w:szCs w:val="22"/>
              </w:rPr>
            </w:pPr>
            <w:proofErr w:type="spellStart"/>
            <w:r w:rsidRPr="005C25FF">
              <w:rPr>
                <w:rFonts w:ascii="Arial" w:hAnsi="Arial" w:cs="Arial"/>
                <w:sz w:val="22"/>
                <w:szCs w:val="22"/>
              </w:rPr>
              <w:t>Reymar</w:t>
            </w:r>
            <w:proofErr w:type="spellEnd"/>
            <w:r w:rsidRPr="005C25FF">
              <w:rPr>
                <w:rFonts w:ascii="Arial" w:hAnsi="Arial" w:cs="Arial"/>
                <w:sz w:val="22"/>
                <w:szCs w:val="22"/>
              </w:rPr>
              <w:t xml:space="preserve"> H. Santiago</w:t>
            </w:r>
          </w:p>
        </w:tc>
        <w:tc>
          <w:tcPr>
            <w:tcW w:w="270" w:type="dxa"/>
          </w:tcPr>
          <w:p w14:paraId="3464B526" w14:textId="77777777" w:rsidR="003D767B" w:rsidRPr="005C25FF" w:rsidRDefault="00217C74" w:rsidP="005C25FF">
            <w:pPr>
              <w:spacing w:after="0" w:line="240" w:lineRule="auto"/>
              <w:ind w:right="2340"/>
              <w:jc w:val="both"/>
              <w:rPr>
                <w:rFonts w:ascii="Arial" w:hAnsi="Arial" w:cs="Arial"/>
                <w:sz w:val="22"/>
                <w:szCs w:val="22"/>
              </w:rPr>
            </w:pPr>
            <w:r w:rsidRPr="005C25FF">
              <w:rPr>
                <w:rFonts w:ascii="Arial" w:hAnsi="Arial" w:cs="Arial"/>
                <w:sz w:val="22"/>
                <w:szCs w:val="22"/>
              </w:rPr>
              <w:t>-</w:t>
            </w:r>
          </w:p>
        </w:tc>
        <w:tc>
          <w:tcPr>
            <w:tcW w:w="4230" w:type="dxa"/>
          </w:tcPr>
          <w:p w14:paraId="168631D2" w14:textId="77777777" w:rsidR="003D767B" w:rsidRPr="005C25FF" w:rsidRDefault="001359C7" w:rsidP="005C25FF">
            <w:pPr>
              <w:spacing w:after="0" w:line="240" w:lineRule="auto"/>
              <w:ind w:right="2340"/>
              <w:jc w:val="both"/>
              <w:rPr>
                <w:rFonts w:ascii="Arial" w:hAnsi="Arial" w:cs="Arial"/>
                <w:sz w:val="22"/>
                <w:szCs w:val="22"/>
              </w:rPr>
            </w:pPr>
            <w:r w:rsidRPr="005C25FF">
              <w:rPr>
                <w:rFonts w:ascii="Arial" w:hAnsi="Arial" w:cs="Arial"/>
                <w:sz w:val="22"/>
                <w:szCs w:val="22"/>
              </w:rPr>
              <w:t>Board Secretary</w:t>
            </w:r>
          </w:p>
        </w:tc>
      </w:tr>
      <w:tr w:rsidR="003D767B" w:rsidRPr="003D767B" w14:paraId="161E8555" w14:textId="77777777" w:rsidTr="001359C7">
        <w:tc>
          <w:tcPr>
            <w:tcW w:w="3330" w:type="dxa"/>
          </w:tcPr>
          <w:p w14:paraId="5D7F7691" w14:textId="77777777" w:rsidR="003D767B" w:rsidRPr="003D767B" w:rsidRDefault="003D767B" w:rsidP="003D767B">
            <w:pPr>
              <w:spacing w:after="0" w:line="240" w:lineRule="auto"/>
              <w:ind w:right="2340"/>
              <w:jc w:val="both"/>
              <w:rPr>
                <w:rFonts w:ascii="Arial" w:hAnsi="Arial" w:cs="Arial"/>
                <w:sz w:val="22"/>
                <w:szCs w:val="22"/>
              </w:rPr>
            </w:pPr>
          </w:p>
        </w:tc>
        <w:tc>
          <w:tcPr>
            <w:tcW w:w="270" w:type="dxa"/>
          </w:tcPr>
          <w:p w14:paraId="7DF47A3B" w14:textId="77777777" w:rsidR="003D767B" w:rsidRPr="003D767B" w:rsidRDefault="003D767B" w:rsidP="003D767B">
            <w:pPr>
              <w:spacing w:after="0" w:line="240" w:lineRule="auto"/>
              <w:ind w:right="2340"/>
              <w:jc w:val="both"/>
              <w:rPr>
                <w:rFonts w:ascii="Arial" w:hAnsi="Arial" w:cs="Arial"/>
                <w:sz w:val="22"/>
                <w:szCs w:val="22"/>
              </w:rPr>
            </w:pPr>
          </w:p>
        </w:tc>
        <w:tc>
          <w:tcPr>
            <w:tcW w:w="4230" w:type="dxa"/>
          </w:tcPr>
          <w:p w14:paraId="2702164E" w14:textId="77777777" w:rsidR="003D767B" w:rsidRPr="003D767B" w:rsidRDefault="003D767B" w:rsidP="003D767B">
            <w:pPr>
              <w:spacing w:after="0" w:line="240" w:lineRule="auto"/>
              <w:ind w:right="2340"/>
              <w:jc w:val="both"/>
              <w:rPr>
                <w:rFonts w:ascii="Arial" w:hAnsi="Arial" w:cs="Arial"/>
                <w:sz w:val="22"/>
                <w:szCs w:val="22"/>
              </w:rPr>
            </w:pPr>
          </w:p>
        </w:tc>
      </w:tr>
    </w:tbl>
    <w:p w14:paraId="2BEDBCEF" w14:textId="77777777" w:rsidR="00B4130A" w:rsidRDefault="00B4130A" w:rsidP="00B4130A">
      <w:pPr>
        <w:spacing w:after="0" w:line="240" w:lineRule="auto"/>
        <w:jc w:val="both"/>
        <w:rPr>
          <w:rFonts w:ascii="Arial" w:hAnsi="Arial" w:cs="Arial"/>
          <w:b/>
        </w:rPr>
      </w:pPr>
      <w:r>
        <w:rPr>
          <w:rFonts w:ascii="Arial" w:hAnsi="Arial" w:cs="Arial"/>
        </w:rPr>
        <w:t xml:space="preserve">The total manpower complement of </w:t>
      </w:r>
      <w:r w:rsidR="00217C74">
        <w:rPr>
          <w:rFonts w:ascii="Arial" w:hAnsi="Arial" w:cs="Arial"/>
        </w:rPr>
        <w:t>the PCSO as of December 31, 2022</w:t>
      </w:r>
      <w:r w:rsidR="00996BD1">
        <w:rPr>
          <w:rFonts w:ascii="Arial" w:hAnsi="Arial" w:cs="Arial"/>
        </w:rPr>
        <w:t xml:space="preserve"> is </w:t>
      </w:r>
      <w:r w:rsidR="00217C74">
        <w:rPr>
          <w:rFonts w:ascii="Arial" w:hAnsi="Arial" w:cs="Arial"/>
        </w:rPr>
        <w:t>1,662</w:t>
      </w:r>
      <w:r>
        <w:rPr>
          <w:rFonts w:ascii="Arial" w:hAnsi="Arial" w:cs="Arial"/>
        </w:rPr>
        <w:t xml:space="preserve">, broken down as follows:  </w:t>
      </w:r>
    </w:p>
    <w:p w14:paraId="5A75F95C" w14:textId="77777777" w:rsidR="00B4130A" w:rsidRDefault="00B4130A" w:rsidP="00B4130A">
      <w:pPr>
        <w:spacing w:after="0" w:line="240" w:lineRule="auto"/>
        <w:ind w:firstLine="720"/>
        <w:jc w:val="both"/>
        <w:rPr>
          <w:rFonts w:ascii="Arial" w:hAnsi="Arial" w:cs="Arial"/>
          <w:sz w:val="20"/>
          <w:szCs w:val="20"/>
        </w:rPr>
      </w:pPr>
    </w:p>
    <w:tbl>
      <w:tblPr>
        <w:tblStyle w:val="TableGrid"/>
        <w:tblW w:w="8655" w:type="dxa"/>
        <w:jc w:val="right"/>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2130"/>
        <w:gridCol w:w="1957"/>
        <w:gridCol w:w="1688"/>
      </w:tblGrid>
      <w:tr w:rsidR="00B4130A" w14:paraId="2BE9FAEA" w14:textId="77777777" w:rsidTr="0087492D">
        <w:trPr>
          <w:jc w:val="right"/>
        </w:trPr>
        <w:tc>
          <w:tcPr>
            <w:tcW w:w="2880" w:type="dxa"/>
            <w:tcBorders>
              <w:top w:val="single" w:sz="4" w:space="0" w:color="auto"/>
              <w:left w:val="nil"/>
              <w:bottom w:val="single" w:sz="4" w:space="0" w:color="auto"/>
              <w:right w:val="nil"/>
            </w:tcBorders>
            <w:vAlign w:val="center"/>
            <w:hideMark/>
          </w:tcPr>
          <w:p w14:paraId="7AEC24C5" w14:textId="77777777" w:rsidR="00B4130A" w:rsidRDefault="00B4130A" w:rsidP="0087492D">
            <w:pPr>
              <w:spacing w:after="0" w:line="240" w:lineRule="auto"/>
              <w:ind w:left="-108"/>
              <w:rPr>
                <w:rFonts w:ascii="Arial Narrow" w:hAnsi="Arial Narrow" w:cs="Arial"/>
                <w:b/>
                <w:bCs/>
                <w:lang w:eastAsia="en-PH"/>
              </w:rPr>
            </w:pPr>
            <w:r>
              <w:rPr>
                <w:rFonts w:ascii="Arial Narrow" w:hAnsi="Arial Narrow" w:cs="Arial"/>
                <w:b/>
                <w:bCs/>
                <w:lang w:eastAsia="en-PH"/>
              </w:rPr>
              <w:t>Particulars</w:t>
            </w:r>
          </w:p>
        </w:tc>
        <w:tc>
          <w:tcPr>
            <w:tcW w:w="2130" w:type="dxa"/>
            <w:tcBorders>
              <w:top w:val="single" w:sz="4" w:space="0" w:color="auto"/>
              <w:left w:val="nil"/>
              <w:bottom w:val="single" w:sz="4" w:space="0" w:color="auto"/>
              <w:right w:val="nil"/>
            </w:tcBorders>
            <w:vAlign w:val="center"/>
            <w:hideMark/>
          </w:tcPr>
          <w:p w14:paraId="504B9E6A" w14:textId="77777777" w:rsidR="00B4130A" w:rsidRDefault="00B4130A">
            <w:pPr>
              <w:spacing w:after="0" w:line="240" w:lineRule="auto"/>
              <w:jc w:val="right"/>
              <w:rPr>
                <w:rFonts w:ascii="Arial Narrow" w:hAnsi="Arial Narrow" w:cs="Arial"/>
                <w:b/>
                <w:bCs/>
                <w:lang w:eastAsia="en-PH"/>
              </w:rPr>
            </w:pPr>
            <w:r>
              <w:rPr>
                <w:rFonts w:ascii="Arial Narrow" w:hAnsi="Arial Narrow" w:cs="Arial"/>
                <w:b/>
                <w:bCs/>
                <w:lang w:eastAsia="en-PH"/>
              </w:rPr>
              <w:t>Head Office</w:t>
            </w:r>
          </w:p>
        </w:tc>
        <w:tc>
          <w:tcPr>
            <w:tcW w:w="1957" w:type="dxa"/>
            <w:tcBorders>
              <w:top w:val="single" w:sz="4" w:space="0" w:color="auto"/>
              <w:left w:val="nil"/>
              <w:bottom w:val="single" w:sz="4" w:space="0" w:color="auto"/>
              <w:right w:val="nil"/>
            </w:tcBorders>
            <w:vAlign w:val="center"/>
            <w:hideMark/>
          </w:tcPr>
          <w:p w14:paraId="0009244D" w14:textId="77777777" w:rsidR="00B4130A" w:rsidRDefault="00B4130A">
            <w:pPr>
              <w:spacing w:after="0" w:line="240" w:lineRule="auto"/>
              <w:jc w:val="right"/>
              <w:rPr>
                <w:rFonts w:ascii="Arial Narrow" w:hAnsi="Arial Narrow" w:cs="Arial"/>
                <w:b/>
                <w:bCs/>
                <w:lang w:eastAsia="en-PH"/>
              </w:rPr>
            </w:pPr>
            <w:r>
              <w:rPr>
                <w:rFonts w:ascii="Arial Narrow" w:hAnsi="Arial Narrow" w:cs="Arial"/>
                <w:b/>
                <w:bCs/>
                <w:lang w:eastAsia="en-PH"/>
              </w:rPr>
              <w:t>Branch Offices</w:t>
            </w:r>
          </w:p>
        </w:tc>
        <w:tc>
          <w:tcPr>
            <w:tcW w:w="1688" w:type="dxa"/>
            <w:tcBorders>
              <w:top w:val="single" w:sz="4" w:space="0" w:color="auto"/>
              <w:left w:val="nil"/>
              <w:bottom w:val="single" w:sz="4" w:space="0" w:color="auto"/>
              <w:right w:val="nil"/>
            </w:tcBorders>
            <w:vAlign w:val="center"/>
            <w:hideMark/>
          </w:tcPr>
          <w:p w14:paraId="79C23EA3" w14:textId="77777777" w:rsidR="00B4130A" w:rsidRDefault="00B4130A">
            <w:pPr>
              <w:spacing w:after="0" w:line="240" w:lineRule="auto"/>
              <w:ind w:right="-79"/>
              <w:jc w:val="right"/>
              <w:rPr>
                <w:rFonts w:ascii="Arial Narrow" w:hAnsi="Arial Narrow" w:cs="Arial"/>
                <w:b/>
                <w:bCs/>
                <w:lang w:eastAsia="en-PH"/>
              </w:rPr>
            </w:pPr>
            <w:r>
              <w:rPr>
                <w:rFonts w:ascii="Arial Narrow" w:hAnsi="Arial Narrow" w:cs="Arial"/>
                <w:b/>
                <w:bCs/>
                <w:lang w:eastAsia="en-PH"/>
              </w:rPr>
              <w:t>Total</w:t>
            </w:r>
          </w:p>
        </w:tc>
      </w:tr>
      <w:tr w:rsidR="00B4130A" w14:paraId="765AFA3B" w14:textId="77777777" w:rsidTr="0087492D">
        <w:trPr>
          <w:jc w:val="right"/>
        </w:trPr>
        <w:tc>
          <w:tcPr>
            <w:tcW w:w="2880" w:type="dxa"/>
            <w:tcBorders>
              <w:top w:val="single" w:sz="4" w:space="0" w:color="auto"/>
              <w:left w:val="nil"/>
              <w:bottom w:val="nil"/>
              <w:right w:val="nil"/>
            </w:tcBorders>
            <w:vAlign w:val="bottom"/>
            <w:hideMark/>
          </w:tcPr>
          <w:p w14:paraId="4A4BA252" w14:textId="77777777" w:rsidR="00B4130A" w:rsidRDefault="00B4130A">
            <w:pPr>
              <w:spacing w:after="0" w:line="240" w:lineRule="auto"/>
              <w:ind w:left="-110"/>
              <w:rPr>
                <w:rFonts w:ascii="Arial Narrow" w:hAnsi="Arial Narrow" w:cs="Arial"/>
                <w:lang w:eastAsia="en-PH"/>
              </w:rPr>
            </w:pPr>
            <w:r>
              <w:rPr>
                <w:rFonts w:ascii="Arial Narrow" w:hAnsi="Arial Narrow" w:cs="Arial"/>
                <w:lang w:eastAsia="en-PH"/>
              </w:rPr>
              <w:t>Permanent employees</w:t>
            </w:r>
          </w:p>
        </w:tc>
        <w:tc>
          <w:tcPr>
            <w:tcW w:w="2130" w:type="dxa"/>
            <w:tcBorders>
              <w:top w:val="single" w:sz="4" w:space="0" w:color="auto"/>
              <w:left w:val="nil"/>
              <w:bottom w:val="nil"/>
              <w:right w:val="nil"/>
            </w:tcBorders>
            <w:vAlign w:val="bottom"/>
          </w:tcPr>
          <w:p w14:paraId="529F1049"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516</w:t>
            </w:r>
          </w:p>
        </w:tc>
        <w:tc>
          <w:tcPr>
            <w:tcW w:w="1957" w:type="dxa"/>
            <w:tcBorders>
              <w:top w:val="single" w:sz="4" w:space="0" w:color="auto"/>
              <w:left w:val="nil"/>
              <w:bottom w:val="nil"/>
              <w:right w:val="nil"/>
            </w:tcBorders>
            <w:vAlign w:val="bottom"/>
          </w:tcPr>
          <w:p w14:paraId="3B409AF5"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499</w:t>
            </w:r>
          </w:p>
        </w:tc>
        <w:tc>
          <w:tcPr>
            <w:tcW w:w="1688" w:type="dxa"/>
            <w:tcBorders>
              <w:top w:val="single" w:sz="4" w:space="0" w:color="auto"/>
              <w:left w:val="nil"/>
              <w:bottom w:val="nil"/>
              <w:right w:val="nil"/>
            </w:tcBorders>
            <w:vAlign w:val="bottom"/>
          </w:tcPr>
          <w:p w14:paraId="38858C0F" w14:textId="77777777" w:rsidR="00B4130A" w:rsidRDefault="00217C74">
            <w:pPr>
              <w:spacing w:after="0" w:line="240" w:lineRule="auto"/>
              <w:ind w:right="-110"/>
              <w:jc w:val="right"/>
              <w:rPr>
                <w:rFonts w:ascii="Arial Narrow" w:hAnsi="Arial Narrow" w:cs="Arial"/>
                <w:lang w:eastAsia="en-PH"/>
              </w:rPr>
            </w:pPr>
            <w:r>
              <w:rPr>
                <w:rFonts w:ascii="Arial Narrow" w:hAnsi="Arial Narrow" w:cs="Arial"/>
                <w:lang w:eastAsia="en-PH"/>
              </w:rPr>
              <w:t>1,015</w:t>
            </w:r>
          </w:p>
        </w:tc>
      </w:tr>
      <w:tr w:rsidR="00B4130A" w14:paraId="685CA256" w14:textId="77777777" w:rsidTr="0087492D">
        <w:trPr>
          <w:jc w:val="right"/>
        </w:trPr>
        <w:tc>
          <w:tcPr>
            <w:tcW w:w="2880" w:type="dxa"/>
            <w:tcBorders>
              <w:top w:val="nil"/>
              <w:left w:val="nil"/>
              <w:bottom w:val="nil"/>
              <w:right w:val="nil"/>
            </w:tcBorders>
            <w:vAlign w:val="bottom"/>
            <w:hideMark/>
          </w:tcPr>
          <w:p w14:paraId="1B3EA106" w14:textId="77777777" w:rsidR="00B4130A" w:rsidRDefault="00B4130A">
            <w:pPr>
              <w:spacing w:after="0" w:line="240" w:lineRule="auto"/>
              <w:ind w:left="-110"/>
              <w:rPr>
                <w:rFonts w:ascii="Arial Narrow" w:hAnsi="Arial Narrow" w:cs="Arial"/>
                <w:lang w:eastAsia="en-PH"/>
              </w:rPr>
            </w:pPr>
            <w:r>
              <w:rPr>
                <w:rFonts w:ascii="Arial Narrow" w:hAnsi="Arial Narrow" w:cs="Arial"/>
                <w:lang w:eastAsia="en-PH"/>
              </w:rPr>
              <w:t>Co-</w:t>
            </w:r>
            <w:proofErr w:type="spellStart"/>
            <w:r>
              <w:rPr>
                <w:rFonts w:ascii="Arial Narrow" w:hAnsi="Arial Narrow" w:cs="Arial"/>
                <w:lang w:eastAsia="en-PH"/>
              </w:rPr>
              <w:t>terminous</w:t>
            </w:r>
            <w:proofErr w:type="spellEnd"/>
          </w:p>
        </w:tc>
        <w:tc>
          <w:tcPr>
            <w:tcW w:w="2130" w:type="dxa"/>
            <w:tcBorders>
              <w:top w:val="nil"/>
              <w:left w:val="nil"/>
              <w:bottom w:val="nil"/>
              <w:right w:val="nil"/>
            </w:tcBorders>
            <w:vAlign w:val="bottom"/>
          </w:tcPr>
          <w:p w14:paraId="4CB412C2"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64</w:t>
            </w:r>
          </w:p>
        </w:tc>
        <w:tc>
          <w:tcPr>
            <w:tcW w:w="1957" w:type="dxa"/>
            <w:tcBorders>
              <w:top w:val="nil"/>
              <w:left w:val="nil"/>
              <w:bottom w:val="nil"/>
              <w:right w:val="nil"/>
            </w:tcBorders>
            <w:vAlign w:val="bottom"/>
          </w:tcPr>
          <w:p w14:paraId="3340836E"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6</w:t>
            </w:r>
          </w:p>
        </w:tc>
        <w:tc>
          <w:tcPr>
            <w:tcW w:w="1688" w:type="dxa"/>
            <w:tcBorders>
              <w:top w:val="nil"/>
              <w:left w:val="nil"/>
              <w:bottom w:val="nil"/>
              <w:right w:val="nil"/>
            </w:tcBorders>
            <w:vAlign w:val="bottom"/>
          </w:tcPr>
          <w:p w14:paraId="4CFEDC77" w14:textId="77777777" w:rsidR="00B4130A" w:rsidRDefault="00217C74">
            <w:pPr>
              <w:spacing w:after="0" w:line="240" w:lineRule="auto"/>
              <w:ind w:right="-110"/>
              <w:jc w:val="right"/>
              <w:rPr>
                <w:rFonts w:ascii="Arial Narrow" w:hAnsi="Arial Narrow" w:cs="Arial"/>
                <w:lang w:eastAsia="en-PH"/>
              </w:rPr>
            </w:pPr>
            <w:r>
              <w:rPr>
                <w:rFonts w:ascii="Arial Narrow" w:hAnsi="Arial Narrow" w:cs="Arial"/>
                <w:lang w:eastAsia="en-PH"/>
              </w:rPr>
              <w:t>70</w:t>
            </w:r>
          </w:p>
        </w:tc>
      </w:tr>
      <w:tr w:rsidR="00B4130A" w14:paraId="63F6F676" w14:textId="77777777" w:rsidTr="0087492D">
        <w:trPr>
          <w:jc w:val="right"/>
        </w:trPr>
        <w:tc>
          <w:tcPr>
            <w:tcW w:w="2880" w:type="dxa"/>
            <w:tcBorders>
              <w:top w:val="nil"/>
              <w:left w:val="nil"/>
              <w:bottom w:val="nil"/>
              <w:right w:val="nil"/>
            </w:tcBorders>
            <w:vAlign w:val="bottom"/>
            <w:hideMark/>
          </w:tcPr>
          <w:p w14:paraId="44CCA6AB" w14:textId="77777777" w:rsidR="00B4130A" w:rsidRDefault="00B4130A">
            <w:pPr>
              <w:spacing w:after="0" w:line="240" w:lineRule="auto"/>
              <w:ind w:left="-110"/>
              <w:rPr>
                <w:rFonts w:ascii="Arial Narrow" w:hAnsi="Arial Narrow" w:cs="Arial"/>
                <w:lang w:eastAsia="en-PH"/>
              </w:rPr>
            </w:pPr>
            <w:r>
              <w:rPr>
                <w:rFonts w:ascii="Arial Narrow" w:hAnsi="Arial Narrow" w:cs="Arial"/>
                <w:lang w:eastAsia="en-PH"/>
              </w:rPr>
              <w:t>Confidential agents</w:t>
            </w:r>
          </w:p>
        </w:tc>
        <w:tc>
          <w:tcPr>
            <w:tcW w:w="2130" w:type="dxa"/>
            <w:tcBorders>
              <w:top w:val="nil"/>
              <w:left w:val="nil"/>
              <w:bottom w:val="nil"/>
              <w:right w:val="nil"/>
            </w:tcBorders>
            <w:vAlign w:val="bottom"/>
          </w:tcPr>
          <w:p w14:paraId="7A22B766"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134</w:t>
            </w:r>
          </w:p>
        </w:tc>
        <w:tc>
          <w:tcPr>
            <w:tcW w:w="1957" w:type="dxa"/>
            <w:tcBorders>
              <w:top w:val="nil"/>
              <w:left w:val="nil"/>
              <w:bottom w:val="nil"/>
              <w:right w:val="nil"/>
            </w:tcBorders>
            <w:vAlign w:val="bottom"/>
          </w:tcPr>
          <w:p w14:paraId="20E2B69F"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0</w:t>
            </w:r>
          </w:p>
        </w:tc>
        <w:tc>
          <w:tcPr>
            <w:tcW w:w="1688" w:type="dxa"/>
            <w:tcBorders>
              <w:top w:val="nil"/>
              <w:left w:val="nil"/>
              <w:bottom w:val="nil"/>
              <w:right w:val="nil"/>
            </w:tcBorders>
            <w:vAlign w:val="bottom"/>
          </w:tcPr>
          <w:p w14:paraId="3484C143" w14:textId="77777777" w:rsidR="00B4130A" w:rsidRDefault="00217C74">
            <w:pPr>
              <w:spacing w:after="0" w:line="240" w:lineRule="auto"/>
              <w:ind w:right="-110"/>
              <w:jc w:val="right"/>
              <w:rPr>
                <w:rFonts w:ascii="Arial Narrow" w:hAnsi="Arial Narrow" w:cs="Arial"/>
                <w:lang w:eastAsia="en-PH"/>
              </w:rPr>
            </w:pPr>
            <w:r>
              <w:rPr>
                <w:rFonts w:ascii="Arial Narrow" w:hAnsi="Arial Narrow" w:cs="Arial"/>
                <w:lang w:eastAsia="en-PH"/>
              </w:rPr>
              <w:t>134</w:t>
            </w:r>
          </w:p>
        </w:tc>
      </w:tr>
      <w:tr w:rsidR="00B4130A" w14:paraId="580A74F8" w14:textId="77777777" w:rsidTr="0087492D">
        <w:trPr>
          <w:jc w:val="right"/>
        </w:trPr>
        <w:tc>
          <w:tcPr>
            <w:tcW w:w="2880" w:type="dxa"/>
            <w:tcBorders>
              <w:top w:val="nil"/>
              <w:left w:val="nil"/>
              <w:bottom w:val="nil"/>
              <w:right w:val="nil"/>
            </w:tcBorders>
            <w:vAlign w:val="bottom"/>
            <w:hideMark/>
          </w:tcPr>
          <w:p w14:paraId="145A05E1" w14:textId="77777777" w:rsidR="00B4130A" w:rsidRDefault="00B4130A">
            <w:pPr>
              <w:spacing w:after="0" w:line="240" w:lineRule="auto"/>
              <w:ind w:left="-110"/>
              <w:rPr>
                <w:rFonts w:ascii="Arial Narrow" w:hAnsi="Arial Narrow" w:cs="Arial"/>
                <w:lang w:eastAsia="en-PH"/>
              </w:rPr>
            </w:pPr>
            <w:r>
              <w:rPr>
                <w:rFonts w:ascii="Arial Narrow" w:hAnsi="Arial Narrow" w:cs="Arial"/>
                <w:lang w:eastAsia="en-PH"/>
              </w:rPr>
              <w:t>Consultants</w:t>
            </w:r>
          </w:p>
        </w:tc>
        <w:tc>
          <w:tcPr>
            <w:tcW w:w="2130" w:type="dxa"/>
            <w:tcBorders>
              <w:top w:val="nil"/>
              <w:left w:val="nil"/>
              <w:bottom w:val="nil"/>
              <w:right w:val="nil"/>
            </w:tcBorders>
            <w:vAlign w:val="bottom"/>
          </w:tcPr>
          <w:p w14:paraId="5CA049A0"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39</w:t>
            </w:r>
          </w:p>
        </w:tc>
        <w:tc>
          <w:tcPr>
            <w:tcW w:w="1957" w:type="dxa"/>
            <w:tcBorders>
              <w:top w:val="nil"/>
              <w:left w:val="nil"/>
              <w:bottom w:val="nil"/>
              <w:right w:val="nil"/>
            </w:tcBorders>
            <w:vAlign w:val="bottom"/>
          </w:tcPr>
          <w:p w14:paraId="0C356482"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0</w:t>
            </w:r>
          </w:p>
        </w:tc>
        <w:tc>
          <w:tcPr>
            <w:tcW w:w="1688" w:type="dxa"/>
            <w:tcBorders>
              <w:top w:val="nil"/>
              <w:left w:val="nil"/>
              <w:bottom w:val="nil"/>
              <w:right w:val="nil"/>
            </w:tcBorders>
            <w:vAlign w:val="bottom"/>
          </w:tcPr>
          <w:p w14:paraId="775D797C" w14:textId="77777777" w:rsidR="00B4130A" w:rsidRDefault="00217C74">
            <w:pPr>
              <w:spacing w:after="0" w:line="240" w:lineRule="auto"/>
              <w:ind w:right="-110"/>
              <w:jc w:val="right"/>
              <w:rPr>
                <w:rFonts w:ascii="Arial Narrow" w:hAnsi="Arial Narrow" w:cs="Arial"/>
                <w:lang w:eastAsia="en-PH"/>
              </w:rPr>
            </w:pPr>
            <w:r>
              <w:rPr>
                <w:rFonts w:ascii="Arial Narrow" w:hAnsi="Arial Narrow" w:cs="Arial"/>
                <w:lang w:eastAsia="en-PH"/>
              </w:rPr>
              <w:t>39</w:t>
            </w:r>
          </w:p>
        </w:tc>
      </w:tr>
      <w:tr w:rsidR="00B4130A" w14:paraId="09539033" w14:textId="77777777" w:rsidTr="0087492D">
        <w:trPr>
          <w:jc w:val="right"/>
        </w:trPr>
        <w:tc>
          <w:tcPr>
            <w:tcW w:w="2880" w:type="dxa"/>
            <w:tcBorders>
              <w:top w:val="nil"/>
              <w:left w:val="nil"/>
              <w:bottom w:val="single" w:sz="4" w:space="0" w:color="auto"/>
              <w:right w:val="nil"/>
            </w:tcBorders>
            <w:vAlign w:val="bottom"/>
            <w:hideMark/>
          </w:tcPr>
          <w:p w14:paraId="24362FBA" w14:textId="77777777" w:rsidR="00B4130A" w:rsidRDefault="00B4130A">
            <w:pPr>
              <w:spacing w:after="0" w:line="240" w:lineRule="auto"/>
              <w:ind w:left="-110"/>
              <w:rPr>
                <w:rFonts w:ascii="Arial Narrow" w:hAnsi="Arial Narrow" w:cs="Arial"/>
                <w:lang w:eastAsia="en-PH"/>
              </w:rPr>
            </w:pPr>
            <w:r>
              <w:rPr>
                <w:rFonts w:ascii="Arial Narrow" w:hAnsi="Arial Narrow" w:cs="Arial"/>
                <w:lang w:eastAsia="en-PH"/>
              </w:rPr>
              <w:t>Job order</w:t>
            </w:r>
          </w:p>
        </w:tc>
        <w:tc>
          <w:tcPr>
            <w:tcW w:w="2130" w:type="dxa"/>
            <w:tcBorders>
              <w:top w:val="nil"/>
              <w:left w:val="nil"/>
              <w:bottom w:val="single" w:sz="4" w:space="0" w:color="auto"/>
              <w:right w:val="nil"/>
            </w:tcBorders>
            <w:vAlign w:val="bottom"/>
          </w:tcPr>
          <w:p w14:paraId="4DD1C00C"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207</w:t>
            </w:r>
          </w:p>
        </w:tc>
        <w:tc>
          <w:tcPr>
            <w:tcW w:w="1957" w:type="dxa"/>
            <w:tcBorders>
              <w:top w:val="nil"/>
              <w:left w:val="nil"/>
              <w:bottom w:val="single" w:sz="4" w:space="0" w:color="auto"/>
              <w:right w:val="nil"/>
            </w:tcBorders>
            <w:vAlign w:val="bottom"/>
          </w:tcPr>
          <w:p w14:paraId="02C15F29" w14:textId="77777777" w:rsidR="00B4130A" w:rsidRDefault="00217C74">
            <w:pPr>
              <w:spacing w:after="0" w:line="240" w:lineRule="auto"/>
              <w:jc w:val="right"/>
              <w:rPr>
                <w:rFonts w:ascii="Arial Narrow" w:hAnsi="Arial Narrow" w:cs="Arial"/>
                <w:bCs/>
                <w:lang w:eastAsia="en-PH"/>
              </w:rPr>
            </w:pPr>
            <w:r>
              <w:rPr>
                <w:rFonts w:ascii="Arial Narrow" w:hAnsi="Arial Narrow" w:cs="Arial"/>
                <w:bCs/>
                <w:lang w:eastAsia="en-PH"/>
              </w:rPr>
              <w:t>197</w:t>
            </w:r>
          </w:p>
        </w:tc>
        <w:tc>
          <w:tcPr>
            <w:tcW w:w="1688" w:type="dxa"/>
            <w:tcBorders>
              <w:top w:val="nil"/>
              <w:left w:val="nil"/>
              <w:bottom w:val="single" w:sz="4" w:space="0" w:color="auto"/>
              <w:right w:val="nil"/>
            </w:tcBorders>
            <w:vAlign w:val="bottom"/>
          </w:tcPr>
          <w:p w14:paraId="4F6C505B" w14:textId="77777777" w:rsidR="00B4130A" w:rsidRDefault="00217C74">
            <w:pPr>
              <w:spacing w:after="0" w:line="240" w:lineRule="auto"/>
              <w:ind w:right="-110"/>
              <w:jc w:val="right"/>
              <w:rPr>
                <w:rFonts w:ascii="Arial Narrow" w:hAnsi="Arial Narrow" w:cs="Arial"/>
                <w:lang w:eastAsia="en-PH"/>
              </w:rPr>
            </w:pPr>
            <w:r>
              <w:rPr>
                <w:rFonts w:ascii="Arial Narrow" w:hAnsi="Arial Narrow" w:cs="Arial"/>
                <w:lang w:eastAsia="en-PH"/>
              </w:rPr>
              <w:t>404</w:t>
            </w:r>
          </w:p>
        </w:tc>
      </w:tr>
      <w:tr w:rsidR="00B4130A" w14:paraId="69FAF3F8" w14:textId="77777777" w:rsidTr="0087492D">
        <w:trPr>
          <w:jc w:val="right"/>
        </w:trPr>
        <w:tc>
          <w:tcPr>
            <w:tcW w:w="2880" w:type="dxa"/>
            <w:tcBorders>
              <w:top w:val="single" w:sz="4" w:space="0" w:color="auto"/>
              <w:left w:val="nil"/>
              <w:bottom w:val="double" w:sz="4" w:space="0" w:color="auto"/>
              <w:right w:val="nil"/>
            </w:tcBorders>
            <w:vAlign w:val="bottom"/>
            <w:hideMark/>
          </w:tcPr>
          <w:p w14:paraId="65CFB68A" w14:textId="77777777" w:rsidR="00B4130A" w:rsidRDefault="00B4130A">
            <w:pPr>
              <w:spacing w:after="0" w:line="240" w:lineRule="auto"/>
              <w:ind w:hanging="107"/>
              <w:rPr>
                <w:rFonts w:ascii="Arial Narrow" w:hAnsi="Arial Narrow" w:cs="Arial"/>
                <w:b/>
                <w:bCs/>
                <w:lang w:eastAsia="en-PH"/>
              </w:rPr>
            </w:pPr>
            <w:r>
              <w:rPr>
                <w:rFonts w:ascii="Arial Narrow" w:hAnsi="Arial Narrow" w:cs="Arial"/>
                <w:b/>
                <w:bCs/>
                <w:lang w:eastAsia="en-PH"/>
              </w:rPr>
              <w:t>Total</w:t>
            </w:r>
          </w:p>
        </w:tc>
        <w:tc>
          <w:tcPr>
            <w:tcW w:w="2130" w:type="dxa"/>
            <w:tcBorders>
              <w:top w:val="single" w:sz="4" w:space="0" w:color="auto"/>
              <w:left w:val="nil"/>
              <w:bottom w:val="double" w:sz="4" w:space="0" w:color="auto"/>
              <w:right w:val="nil"/>
            </w:tcBorders>
            <w:vAlign w:val="bottom"/>
          </w:tcPr>
          <w:p w14:paraId="6C9AA6F2" w14:textId="77777777" w:rsidR="00B4130A" w:rsidRDefault="00217C74">
            <w:pPr>
              <w:spacing w:after="0" w:line="240" w:lineRule="auto"/>
              <w:jc w:val="right"/>
              <w:rPr>
                <w:rFonts w:ascii="Arial Narrow" w:hAnsi="Arial Narrow" w:cs="Arial"/>
                <w:b/>
                <w:bCs/>
                <w:lang w:eastAsia="en-PH"/>
              </w:rPr>
            </w:pPr>
            <w:r>
              <w:rPr>
                <w:rFonts w:ascii="Arial Narrow" w:hAnsi="Arial Narrow" w:cs="Arial"/>
                <w:b/>
                <w:bCs/>
                <w:lang w:eastAsia="en-PH"/>
              </w:rPr>
              <w:t>960</w:t>
            </w:r>
          </w:p>
        </w:tc>
        <w:tc>
          <w:tcPr>
            <w:tcW w:w="1957" w:type="dxa"/>
            <w:tcBorders>
              <w:top w:val="single" w:sz="4" w:space="0" w:color="auto"/>
              <w:left w:val="nil"/>
              <w:bottom w:val="double" w:sz="4" w:space="0" w:color="auto"/>
              <w:right w:val="nil"/>
            </w:tcBorders>
            <w:vAlign w:val="bottom"/>
          </w:tcPr>
          <w:p w14:paraId="04037174" w14:textId="77777777" w:rsidR="00B4130A" w:rsidRDefault="00217C74">
            <w:pPr>
              <w:spacing w:after="0" w:line="240" w:lineRule="auto"/>
              <w:jc w:val="right"/>
              <w:rPr>
                <w:rFonts w:ascii="Arial Narrow" w:hAnsi="Arial Narrow" w:cs="Arial"/>
                <w:b/>
                <w:bCs/>
                <w:lang w:eastAsia="en-PH"/>
              </w:rPr>
            </w:pPr>
            <w:r>
              <w:rPr>
                <w:rFonts w:ascii="Arial Narrow" w:hAnsi="Arial Narrow" w:cs="Arial"/>
                <w:b/>
                <w:bCs/>
                <w:lang w:eastAsia="en-PH"/>
              </w:rPr>
              <w:t>702</w:t>
            </w:r>
          </w:p>
        </w:tc>
        <w:tc>
          <w:tcPr>
            <w:tcW w:w="1688" w:type="dxa"/>
            <w:tcBorders>
              <w:top w:val="single" w:sz="4" w:space="0" w:color="auto"/>
              <w:left w:val="nil"/>
              <w:bottom w:val="double" w:sz="4" w:space="0" w:color="auto"/>
              <w:right w:val="nil"/>
            </w:tcBorders>
            <w:vAlign w:val="bottom"/>
          </w:tcPr>
          <w:p w14:paraId="13241309" w14:textId="77777777" w:rsidR="00B4130A" w:rsidRDefault="00217C74">
            <w:pPr>
              <w:spacing w:after="0" w:line="240" w:lineRule="auto"/>
              <w:ind w:right="-110"/>
              <w:jc w:val="right"/>
              <w:rPr>
                <w:rFonts w:ascii="Arial Narrow" w:hAnsi="Arial Narrow" w:cs="Arial"/>
                <w:b/>
                <w:bCs/>
                <w:lang w:eastAsia="en-PH"/>
              </w:rPr>
            </w:pPr>
            <w:r>
              <w:rPr>
                <w:rFonts w:ascii="Arial Narrow" w:hAnsi="Arial Narrow" w:cs="Arial"/>
                <w:b/>
                <w:bCs/>
                <w:lang w:eastAsia="en-PH"/>
              </w:rPr>
              <w:t>1,662</w:t>
            </w:r>
          </w:p>
        </w:tc>
      </w:tr>
    </w:tbl>
    <w:p w14:paraId="5B6E57AB" w14:textId="77777777" w:rsidR="00B4130A" w:rsidRDefault="00B4130A" w:rsidP="00B4130A">
      <w:pPr>
        <w:spacing w:after="0" w:line="240" w:lineRule="auto"/>
        <w:jc w:val="both"/>
        <w:rPr>
          <w:rFonts w:ascii="Arial" w:hAnsi="Arial" w:cs="Arial"/>
          <w:sz w:val="20"/>
          <w:szCs w:val="20"/>
        </w:rPr>
      </w:pPr>
    </w:p>
    <w:p w14:paraId="33262E83" w14:textId="77777777" w:rsidR="00B4130A" w:rsidRDefault="00B4130A" w:rsidP="00B4130A">
      <w:pPr>
        <w:spacing w:after="0" w:line="240" w:lineRule="auto"/>
        <w:jc w:val="both"/>
        <w:rPr>
          <w:rFonts w:ascii="Arial" w:hAnsi="Arial" w:cs="Arial"/>
        </w:rPr>
      </w:pPr>
      <w:r>
        <w:rPr>
          <w:rFonts w:ascii="Arial" w:hAnsi="Arial" w:cs="Arial"/>
        </w:rPr>
        <w:t>The main office of the PCSO is located at the Sun Plaza Building and Conservatory Shaw Plaza Building in Mandaluyong Cit</w:t>
      </w:r>
      <w:r w:rsidR="00CB743A">
        <w:rPr>
          <w:rFonts w:ascii="Arial" w:hAnsi="Arial" w:cs="Arial"/>
        </w:rPr>
        <w:t>y. It has five branch operation</w:t>
      </w:r>
      <w:r>
        <w:rPr>
          <w:rFonts w:ascii="Arial" w:hAnsi="Arial" w:cs="Arial"/>
        </w:rPr>
        <w:t xml:space="preserve"> departments, namely: National Capital Region (NCR), Northern and Central Luzon (NCL), Southern Tagalog and Bicol Region (STBR), Visayas and M</w:t>
      </w:r>
      <w:r w:rsidR="009113C0">
        <w:rPr>
          <w:rFonts w:ascii="Arial" w:hAnsi="Arial" w:cs="Arial"/>
        </w:rPr>
        <w:t>indanao.</w:t>
      </w:r>
      <w:r w:rsidR="000B60FC">
        <w:rPr>
          <w:rFonts w:ascii="Arial" w:hAnsi="Arial" w:cs="Arial"/>
        </w:rPr>
        <w:t xml:space="preserve"> The </w:t>
      </w:r>
      <w:r w:rsidR="009113C0">
        <w:rPr>
          <w:rFonts w:ascii="Arial" w:hAnsi="Arial" w:cs="Arial"/>
        </w:rPr>
        <w:t xml:space="preserve">PCSO has </w:t>
      </w:r>
      <w:r w:rsidR="00217C74">
        <w:rPr>
          <w:rFonts w:ascii="Arial" w:hAnsi="Arial" w:cs="Arial"/>
        </w:rPr>
        <w:t>72</w:t>
      </w:r>
      <w:r>
        <w:rPr>
          <w:rFonts w:ascii="Arial" w:hAnsi="Arial" w:cs="Arial"/>
        </w:rPr>
        <w:t xml:space="preserve"> branches na</w:t>
      </w:r>
      <w:r w:rsidR="00217C74">
        <w:rPr>
          <w:rFonts w:ascii="Arial" w:hAnsi="Arial" w:cs="Arial"/>
        </w:rPr>
        <w:t>tionwide as of December 31, 2022</w:t>
      </w:r>
      <w:r>
        <w:rPr>
          <w:rFonts w:ascii="Arial" w:hAnsi="Arial" w:cs="Arial"/>
        </w:rPr>
        <w:t>.</w:t>
      </w:r>
    </w:p>
    <w:p w14:paraId="5AD326F0" w14:textId="77777777" w:rsidR="00B4130A" w:rsidRDefault="00B4130A" w:rsidP="00B4130A">
      <w:pPr>
        <w:spacing w:after="0" w:line="240" w:lineRule="auto"/>
        <w:jc w:val="both"/>
        <w:rPr>
          <w:rFonts w:ascii="Arial" w:hAnsi="Arial" w:cs="Arial"/>
        </w:rPr>
      </w:pPr>
      <w:r>
        <w:rPr>
          <w:rFonts w:ascii="Arial" w:hAnsi="Arial" w:cs="Arial"/>
        </w:rPr>
        <w:lastRenderedPageBreak/>
        <w:t>Proceeds from the sweepstakes draws and the lottery games are the main sources of funds of the PCSO. Various game types have been introduced and other game innovations are constantly being conceptualized.</w:t>
      </w:r>
    </w:p>
    <w:p w14:paraId="7189ACBC" w14:textId="77777777" w:rsidR="00B4130A" w:rsidRDefault="00B4130A" w:rsidP="00B4130A">
      <w:pPr>
        <w:pStyle w:val="ListParagraph"/>
        <w:ind w:left="0"/>
        <w:jc w:val="both"/>
        <w:rPr>
          <w:rFonts w:ascii="Arial" w:hAnsi="Arial" w:cs="Arial"/>
          <w:sz w:val="19"/>
          <w:szCs w:val="19"/>
        </w:rPr>
      </w:pPr>
    </w:p>
    <w:p w14:paraId="49B4A98C" w14:textId="77777777" w:rsidR="00B4130A" w:rsidRDefault="00B4130A" w:rsidP="00B4130A">
      <w:pPr>
        <w:spacing w:after="0" w:line="240" w:lineRule="auto"/>
        <w:jc w:val="both"/>
        <w:rPr>
          <w:rFonts w:ascii="Arial" w:hAnsi="Arial" w:cs="Arial"/>
          <w:b/>
          <w:sz w:val="19"/>
          <w:szCs w:val="19"/>
        </w:rPr>
      </w:pPr>
    </w:p>
    <w:p w14:paraId="32D94670" w14:textId="77777777" w:rsidR="00B4130A" w:rsidRDefault="00B4130A" w:rsidP="00B4130A">
      <w:pPr>
        <w:spacing w:after="0" w:line="240" w:lineRule="auto"/>
        <w:jc w:val="both"/>
        <w:rPr>
          <w:rFonts w:ascii="Arial" w:hAnsi="Arial" w:cs="Arial"/>
          <w:b/>
        </w:rPr>
      </w:pPr>
      <w:r>
        <w:rPr>
          <w:rFonts w:ascii="Arial" w:hAnsi="Arial" w:cs="Arial"/>
          <w:b/>
        </w:rPr>
        <w:t>FINANCIAL HIGHLIGHTS (In Philippine Peso)</w:t>
      </w:r>
    </w:p>
    <w:p w14:paraId="547003B6" w14:textId="77777777" w:rsidR="00B4130A" w:rsidRDefault="00B4130A" w:rsidP="00B4130A">
      <w:pPr>
        <w:spacing w:after="0" w:line="240" w:lineRule="auto"/>
        <w:jc w:val="both"/>
        <w:rPr>
          <w:rFonts w:ascii="Arial" w:hAnsi="Arial" w:cs="Arial"/>
          <w:b/>
          <w:sz w:val="19"/>
          <w:szCs w:val="19"/>
        </w:rPr>
      </w:pPr>
    </w:p>
    <w:p w14:paraId="684B52D4" w14:textId="77777777" w:rsidR="00B4130A" w:rsidRDefault="00B4130A" w:rsidP="00B4130A">
      <w:pPr>
        <w:pStyle w:val="ListParagraph"/>
        <w:numPr>
          <w:ilvl w:val="0"/>
          <w:numId w:val="1"/>
        </w:numPr>
        <w:ind w:left="567" w:hanging="567"/>
        <w:jc w:val="both"/>
        <w:rPr>
          <w:rFonts w:ascii="Arial" w:hAnsi="Arial" w:cs="Arial"/>
          <w:b/>
          <w:sz w:val="20"/>
          <w:szCs w:val="20"/>
        </w:rPr>
      </w:pPr>
      <w:r>
        <w:rPr>
          <w:rFonts w:ascii="Arial" w:hAnsi="Arial" w:cs="Arial"/>
          <w:b/>
          <w:sz w:val="20"/>
          <w:szCs w:val="20"/>
        </w:rPr>
        <w:t>Financial Position</w:t>
      </w:r>
    </w:p>
    <w:p w14:paraId="2CB57691" w14:textId="77777777" w:rsidR="00B4130A" w:rsidRDefault="00B4130A" w:rsidP="00B4130A">
      <w:pPr>
        <w:spacing w:after="0" w:line="240" w:lineRule="auto"/>
        <w:jc w:val="both"/>
        <w:rPr>
          <w:rFonts w:ascii="Arial" w:hAnsi="Arial" w:cs="Arial"/>
          <w:b/>
          <w:sz w:val="20"/>
          <w:szCs w:val="20"/>
        </w:rPr>
      </w:pPr>
    </w:p>
    <w:tbl>
      <w:tblPr>
        <w:tblW w:w="8638" w:type="dxa"/>
        <w:jc w:val="right"/>
        <w:tblLook w:val="04A0" w:firstRow="1" w:lastRow="0" w:firstColumn="1" w:lastColumn="0" w:noHBand="0" w:noVBand="1"/>
      </w:tblPr>
      <w:tblGrid>
        <w:gridCol w:w="3960"/>
        <w:gridCol w:w="1392"/>
        <w:gridCol w:w="1520"/>
        <w:gridCol w:w="1766"/>
      </w:tblGrid>
      <w:tr w:rsidR="00B4130A" w14:paraId="685E51B6" w14:textId="77777777" w:rsidTr="009841CB">
        <w:trPr>
          <w:trHeight w:val="332"/>
          <w:jc w:val="right"/>
        </w:trPr>
        <w:tc>
          <w:tcPr>
            <w:tcW w:w="3960" w:type="dxa"/>
            <w:tcBorders>
              <w:top w:val="single" w:sz="4" w:space="0" w:color="auto"/>
              <w:left w:val="nil"/>
              <w:bottom w:val="single" w:sz="4" w:space="0" w:color="auto"/>
              <w:right w:val="nil"/>
            </w:tcBorders>
            <w:vAlign w:val="bottom"/>
            <w:hideMark/>
          </w:tcPr>
          <w:p w14:paraId="48927390" w14:textId="77777777" w:rsidR="00B4130A" w:rsidRDefault="00B4130A">
            <w:pPr>
              <w:rPr>
                <w:rFonts w:ascii="Arial" w:hAnsi="Arial" w:cs="Arial"/>
                <w:b/>
                <w:sz w:val="20"/>
                <w:szCs w:val="20"/>
              </w:rPr>
            </w:pPr>
          </w:p>
        </w:tc>
        <w:tc>
          <w:tcPr>
            <w:tcW w:w="1392" w:type="dxa"/>
            <w:tcBorders>
              <w:top w:val="single" w:sz="4" w:space="0" w:color="auto"/>
              <w:left w:val="nil"/>
              <w:bottom w:val="single" w:sz="4" w:space="0" w:color="auto"/>
              <w:right w:val="nil"/>
            </w:tcBorders>
            <w:vAlign w:val="bottom"/>
            <w:hideMark/>
          </w:tcPr>
          <w:p w14:paraId="356841D1" w14:textId="77777777" w:rsidR="00B4130A" w:rsidRDefault="00217C74">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2022</w:t>
            </w:r>
          </w:p>
        </w:tc>
        <w:tc>
          <w:tcPr>
            <w:tcW w:w="1520" w:type="dxa"/>
            <w:tcBorders>
              <w:top w:val="single" w:sz="4" w:space="0" w:color="auto"/>
              <w:left w:val="nil"/>
              <w:bottom w:val="single" w:sz="4" w:space="0" w:color="auto"/>
              <w:right w:val="nil"/>
            </w:tcBorders>
            <w:vAlign w:val="bottom"/>
            <w:hideMark/>
          </w:tcPr>
          <w:p w14:paraId="7BB1B4FB" w14:textId="77777777" w:rsidR="00B4130A" w:rsidRDefault="00217C74">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2021</w:t>
            </w:r>
          </w:p>
          <w:p w14:paraId="6B78FB04" w14:textId="77777777" w:rsidR="00B4130A" w:rsidRDefault="00B4130A">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As Restated</w:t>
            </w:r>
          </w:p>
        </w:tc>
        <w:tc>
          <w:tcPr>
            <w:tcW w:w="1766" w:type="dxa"/>
            <w:tcBorders>
              <w:top w:val="single" w:sz="4" w:space="0" w:color="auto"/>
              <w:left w:val="nil"/>
              <w:bottom w:val="single" w:sz="4" w:space="0" w:color="auto"/>
              <w:right w:val="nil"/>
            </w:tcBorders>
            <w:vAlign w:val="bottom"/>
            <w:hideMark/>
          </w:tcPr>
          <w:p w14:paraId="1B42AFC8" w14:textId="77777777" w:rsidR="00B4130A" w:rsidRDefault="00B4130A">
            <w:pPr>
              <w:spacing w:after="0" w:line="240" w:lineRule="auto"/>
              <w:ind w:right="-108"/>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Increase/(Decrease)</w:t>
            </w:r>
          </w:p>
        </w:tc>
      </w:tr>
      <w:tr w:rsidR="00B4130A" w14:paraId="61263047" w14:textId="77777777" w:rsidTr="009841CB">
        <w:trPr>
          <w:trHeight w:val="246"/>
          <w:jc w:val="right"/>
        </w:trPr>
        <w:tc>
          <w:tcPr>
            <w:tcW w:w="3960" w:type="dxa"/>
            <w:noWrap/>
            <w:vAlign w:val="center"/>
            <w:hideMark/>
          </w:tcPr>
          <w:p w14:paraId="0571ACF4" w14:textId="77777777" w:rsidR="00B4130A" w:rsidRDefault="00B4130A">
            <w:pPr>
              <w:spacing w:after="0" w:line="240" w:lineRule="auto"/>
              <w:ind w:hanging="93"/>
              <w:rPr>
                <w:rFonts w:ascii="Arial Narrow" w:eastAsia="Times New Roman" w:hAnsi="Arial Narrow" w:cs="Arial"/>
                <w:sz w:val="20"/>
                <w:szCs w:val="20"/>
                <w:lang w:val="en-US"/>
              </w:rPr>
            </w:pPr>
            <w:r>
              <w:rPr>
                <w:rFonts w:ascii="Arial Narrow" w:eastAsia="Times New Roman" w:hAnsi="Arial Narrow" w:cs="Arial"/>
                <w:sz w:val="20"/>
                <w:szCs w:val="20"/>
                <w:lang w:val="en-US"/>
              </w:rPr>
              <w:t>Assets</w:t>
            </w:r>
          </w:p>
        </w:tc>
        <w:tc>
          <w:tcPr>
            <w:tcW w:w="1392" w:type="dxa"/>
            <w:vAlign w:val="center"/>
          </w:tcPr>
          <w:p w14:paraId="7504CD73" w14:textId="77777777" w:rsidR="00B4130A" w:rsidRDefault="00300CEB">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41,</w:t>
            </w:r>
            <w:r w:rsidR="00497E6D">
              <w:rPr>
                <w:rFonts w:ascii="Arial Narrow" w:eastAsia="Times New Roman" w:hAnsi="Arial Narrow" w:cs="Arial"/>
                <w:sz w:val="20"/>
                <w:szCs w:val="20"/>
                <w:lang w:val="en-US"/>
              </w:rPr>
              <w:t>585</w:t>
            </w:r>
            <w:r>
              <w:rPr>
                <w:rFonts w:ascii="Arial Narrow" w:eastAsia="Times New Roman" w:hAnsi="Arial Narrow" w:cs="Arial"/>
                <w:sz w:val="20"/>
                <w:szCs w:val="20"/>
                <w:lang w:val="en-US"/>
              </w:rPr>
              <w:t>,012,</w:t>
            </w:r>
            <w:r w:rsidR="00217C74">
              <w:rPr>
                <w:rFonts w:ascii="Arial Narrow" w:eastAsia="Times New Roman" w:hAnsi="Arial Narrow" w:cs="Arial"/>
                <w:sz w:val="20"/>
                <w:szCs w:val="20"/>
                <w:lang w:val="en-US"/>
              </w:rPr>
              <w:t>582</w:t>
            </w:r>
          </w:p>
        </w:tc>
        <w:tc>
          <w:tcPr>
            <w:tcW w:w="1520" w:type="dxa"/>
            <w:vAlign w:val="center"/>
          </w:tcPr>
          <w:p w14:paraId="544AB98D" w14:textId="77777777" w:rsidR="00B4130A" w:rsidRDefault="00497E6D">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36,918,693,</w:t>
            </w:r>
            <w:r w:rsidR="00217C74">
              <w:rPr>
                <w:rFonts w:ascii="Arial Narrow" w:eastAsia="Times New Roman" w:hAnsi="Arial Narrow" w:cs="Arial"/>
                <w:sz w:val="20"/>
                <w:szCs w:val="20"/>
                <w:lang w:val="en-US"/>
              </w:rPr>
              <w:t>399</w:t>
            </w:r>
          </w:p>
        </w:tc>
        <w:tc>
          <w:tcPr>
            <w:tcW w:w="1766" w:type="dxa"/>
            <w:vAlign w:val="center"/>
          </w:tcPr>
          <w:p w14:paraId="51BD2AF7" w14:textId="77777777" w:rsidR="00B4130A" w:rsidRDefault="00497E6D">
            <w:pPr>
              <w:spacing w:after="0" w:line="240" w:lineRule="auto"/>
              <w:ind w:right="-108"/>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4,666,</w:t>
            </w:r>
            <w:r w:rsidR="009841CB">
              <w:rPr>
                <w:rFonts w:ascii="Arial Narrow" w:eastAsia="Times New Roman" w:hAnsi="Arial Narrow" w:cs="Arial"/>
                <w:sz w:val="20"/>
                <w:szCs w:val="20"/>
                <w:lang w:val="en-US"/>
              </w:rPr>
              <w:t>319,183</w:t>
            </w:r>
          </w:p>
        </w:tc>
      </w:tr>
      <w:tr w:rsidR="00B4130A" w14:paraId="6526AF4E" w14:textId="77777777" w:rsidTr="009841CB">
        <w:trPr>
          <w:trHeight w:val="256"/>
          <w:jc w:val="right"/>
        </w:trPr>
        <w:tc>
          <w:tcPr>
            <w:tcW w:w="3960" w:type="dxa"/>
            <w:tcBorders>
              <w:top w:val="nil"/>
              <w:left w:val="nil"/>
              <w:bottom w:val="single" w:sz="4" w:space="0" w:color="auto"/>
              <w:right w:val="nil"/>
            </w:tcBorders>
            <w:noWrap/>
            <w:vAlign w:val="center"/>
            <w:hideMark/>
          </w:tcPr>
          <w:p w14:paraId="1116F8E0" w14:textId="77777777" w:rsidR="00B4130A" w:rsidRDefault="00B4130A">
            <w:pPr>
              <w:spacing w:after="0" w:line="240" w:lineRule="auto"/>
              <w:ind w:hanging="93"/>
              <w:rPr>
                <w:rFonts w:ascii="Arial Narrow" w:eastAsia="Times New Roman" w:hAnsi="Arial Narrow" w:cs="Arial"/>
                <w:sz w:val="20"/>
                <w:szCs w:val="20"/>
                <w:lang w:val="en-US"/>
              </w:rPr>
            </w:pPr>
            <w:r>
              <w:rPr>
                <w:rFonts w:ascii="Arial Narrow" w:eastAsia="Times New Roman" w:hAnsi="Arial Narrow" w:cs="Arial"/>
                <w:sz w:val="20"/>
                <w:szCs w:val="20"/>
                <w:lang w:val="en-US"/>
              </w:rPr>
              <w:t>Liabilities</w:t>
            </w:r>
          </w:p>
        </w:tc>
        <w:tc>
          <w:tcPr>
            <w:tcW w:w="1392" w:type="dxa"/>
            <w:tcBorders>
              <w:top w:val="nil"/>
              <w:left w:val="nil"/>
              <w:bottom w:val="single" w:sz="4" w:space="0" w:color="auto"/>
              <w:right w:val="nil"/>
            </w:tcBorders>
            <w:vAlign w:val="center"/>
          </w:tcPr>
          <w:p w14:paraId="39565E20" w14:textId="77777777" w:rsidR="00B4130A" w:rsidRDefault="00300CEB">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22,895,679,</w:t>
            </w:r>
            <w:r w:rsidR="00217C74">
              <w:rPr>
                <w:rFonts w:ascii="Arial Narrow" w:eastAsia="Times New Roman" w:hAnsi="Arial Narrow" w:cs="Arial"/>
                <w:sz w:val="20"/>
                <w:szCs w:val="20"/>
                <w:lang w:val="en-US"/>
              </w:rPr>
              <w:t>172</w:t>
            </w:r>
          </w:p>
        </w:tc>
        <w:tc>
          <w:tcPr>
            <w:tcW w:w="1520" w:type="dxa"/>
            <w:tcBorders>
              <w:top w:val="nil"/>
              <w:left w:val="nil"/>
              <w:bottom w:val="single" w:sz="4" w:space="0" w:color="auto"/>
              <w:right w:val="nil"/>
            </w:tcBorders>
            <w:vAlign w:val="center"/>
          </w:tcPr>
          <w:p w14:paraId="4165C6AB" w14:textId="77777777" w:rsidR="00B4130A" w:rsidRDefault="00497E6D">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19,704,408,</w:t>
            </w:r>
            <w:r w:rsidR="00217C74">
              <w:rPr>
                <w:rFonts w:ascii="Arial Narrow" w:eastAsia="Times New Roman" w:hAnsi="Arial Narrow" w:cs="Arial"/>
                <w:sz w:val="20"/>
                <w:szCs w:val="20"/>
                <w:lang w:val="en-US"/>
              </w:rPr>
              <w:t>515</w:t>
            </w:r>
          </w:p>
        </w:tc>
        <w:tc>
          <w:tcPr>
            <w:tcW w:w="1766" w:type="dxa"/>
            <w:tcBorders>
              <w:top w:val="nil"/>
              <w:left w:val="nil"/>
              <w:bottom w:val="single" w:sz="4" w:space="0" w:color="auto"/>
              <w:right w:val="nil"/>
            </w:tcBorders>
            <w:vAlign w:val="center"/>
          </w:tcPr>
          <w:p w14:paraId="78836E2D" w14:textId="77777777" w:rsidR="00B4130A" w:rsidRDefault="009841CB">
            <w:pPr>
              <w:spacing w:after="0" w:line="240" w:lineRule="auto"/>
              <w:ind w:right="-108"/>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3,191,270,657</w:t>
            </w:r>
          </w:p>
        </w:tc>
      </w:tr>
      <w:tr w:rsidR="00B4130A" w14:paraId="2E493376" w14:textId="77777777" w:rsidTr="009841CB">
        <w:trPr>
          <w:trHeight w:val="179"/>
          <w:jc w:val="right"/>
        </w:trPr>
        <w:tc>
          <w:tcPr>
            <w:tcW w:w="3960" w:type="dxa"/>
            <w:tcBorders>
              <w:top w:val="single" w:sz="4" w:space="0" w:color="auto"/>
              <w:left w:val="nil"/>
              <w:bottom w:val="double" w:sz="4" w:space="0" w:color="auto"/>
              <w:right w:val="nil"/>
            </w:tcBorders>
            <w:noWrap/>
            <w:vAlign w:val="center"/>
            <w:hideMark/>
          </w:tcPr>
          <w:p w14:paraId="18202006" w14:textId="77777777" w:rsidR="00B4130A" w:rsidRDefault="00B4130A">
            <w:pPr>
              <w:spacing w:after="0" w:line="240" w:lineRule="auto"/>
              <w:ind w:hanging="93"/>
              <w:rPr>
                <w:rFonts w:ascii="Arial Narrow" w:eastAsia="Times New Roman" w:hAnsi="Arial Narrow" w:cs="Arial"/>
                <w:b/>
                <w:sz w:val="20"/>
                <w:szCs w:val="20"/>
                <w:lang w:val="en-US"/>
              </w:rPr>
            </w:pPr>
            <w:r>
              <w:rPr>
                <w:rFonts w:ascii="Arial Narrow" w:eastAsia="Times New Roman" w:hAnsi="Arial Narrow" w:cs="Arial"/>
                <w:b/>
                <w:sz w:val="20"/>
                <w:szCs w:val="20"/>
                <w:lang w:val="en-US"/>
              </w:rPr>
              <w:t>Equity</w:t>
            </w:r>
          </w:p>
        </w:tc>
        <w:tc>
          <w:tcPr>
            <w:tcW w:w="1392" w:type="dxa"/>
            <w:tcBorders>
              <w:top w:val="single" w:sz="4" w:space="0" w:color="auto"/>
              <w:left w:val="nil"/>
              <w:bottom w:val="double" w:sz="4" w:space="0" w:color="auto"/>
              <w:right w:val="nil"/>
            </w:tcBorders>
            <w:vAlign w:val="center"/>
          </w:tcPr>
          <w:p w14:paraId="2379541B" w14:textId="77777777" w:rsidR="00B4130A" w:rsidRDefault="00300CEB">
            <w:pPr>
              <w:spacing w:after="0" w:line="240" w:lineRule="auto"/>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18,</w:t>
            </w:r>
            <w:r w:rsidR="00497E6D">
              <w:rPr>
                <w:rFonts w:ascii="Arial Narrow" w:eastAsia="Times New Roman" w:hAnsi="Arial Narrow" w:cs="Arial"/>
                <w:b/>
                <w:sz w:val="20"/>
                <w:szCs w:val="20"/>
                <w:lang w:val="en-US"/>
              </w:rPr>
              <w:t>689,</w:t>
            </w:r>
            <w:r w:rsidR="00217C74">
              <w:rPr>
                <w:rFonts w:ascii="Arial Narrow" w:eastAsia="Times New Roman" w:hAnsi="Arial Narrow" w:cs="Arial"/>
                <w:b/>
                <w:sz w:val="20"/>
                <w:szCs w:val="20"/>
                <w:lang w:val="en-US"/>
              </w:rPr>
              <w:t>3</w:t>
            </w:r>
            <w:r w:rsidR="00497E6D">
              <w:rPr>
                <w:rFonts w:ascii="Arial Narrow" w:eastAsia="Times New Roman" w:hAnsi="Arial Narrow" w:cs="Arial"/>
                <w:b/>
                <w:sz w:val="20"/>
                <w:szCs w:val="20"/>
                <w:lang w:val="en-US"/>
              </w:rPr>
              <w:t>33,</w:t>
            </w:r>
            <w:r w:rsidR="00217C74">
              <w:rPr>
                <w:rFonts w:ascii="Arial Narrow" w:eastAsia="Times New Roman" w:hAnsi="Arial Narrow" w:cs="Arial"/>
                <w:b/>
                <w:sz w:val="20"/>
                <w:szCs w:val="20"/>
                <w:lang w:val="en-US"/>
              </w:rPr>
              <w:t>410</w:t>
            </w:r>
          </w:p>
        </w:tc>
        <w:tc>
          <w:tcPr>
            <w:tcW w:w="1520" w:type="dxa"/>
            <w:tcBorders>
              <w:top w:val="single" w:sz="4" w:space="0" w:color="auto"/>
              <w:left w:val="nil"/>
              <w:bottom w:val="double" w:sz="4" w:space="0" w:color="auto"/>
              <w:right w:val="nil"/>
            </w:tcBorders>
            <w:vAlign w:val="center"/>
          </w:tcPr>
          <w:p w14:paraId="009C660E" w14:textId="77777777" w:rsidR="00B4130A" w:rsidRDefault="00497E6D">
            <w:pPr>
              <w:spacing w:after="0" w:line="240" w:lineRule="auto"/>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17,214,284,</w:t>
            </w:r>
            <w:r w:rsidR="00217C74">
              <w:rPr>
                <w:rFonts w:ascii="Arial Narrow" w:eastAsia="Times New Roman" w:hAnsi="Arial Narrow" w:cs="Arial"/>
                <w:b/>
                <w:sz w:val="20"/>
                <w:szCs w:val="20"/>
                <w:lang w:val="en-US"/>
              </w:rPr>
              <w:t>884</w:t>
            </w:r>
          </w:p>
        </w:tc>
        <w:tc>
          <w:tcPr>
            <w:tcW w:w="1766" w:type="dxa"/>
            <w:tcBorders>
              <w:top w:val="single" w:sz="4" w:space="0" w:color="auto"/>
              <w:left w:val="nil"/>
              <w:bottom w:val="double" w:sz="4" w:space="0" w:color="auto"/>
              <w:right w:val="nil"/>
            </w:tcBorders>
            <w:vAlign w:val="center"/>
          </w:tcPr>
          <w:p w14:paraId="0B03DD30" w14:textId="77777777" w:rsidR="00B4130A" w:rsidRDefault="009841CB">
            <w:pPr>
              <w:spacing w:after="0" w:line="240" w:lineRule="auto"/>
              <w:ind w:right="-108"/>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1,475,048,526</w:t>
            </w:r>
          </w:p>
        </w:tc>
      </w:tr>
    </w:tbl>
    <w:p w14:paraId="4947FD9C" w14:textId="77777777" w:rsidR="00B4130A" w:rsidRDefault="00B4130A" w:rsidP="00B4130A">
      <w:pPr>
        <w:pStyle w:val="ListParagraph"/>
        <w:jc w:val="both"/>
        <w:rPr>
          <w:rFonts w:ascii="Arial Narrow" w:hAnsi="Arial Narrow" w:cs="Arial"/>
          <w:b/>
          <w:sz w:val="20"/>
          <w:szCs w:val="20"/>
          <w:lang w:val="en-US"/>
        </w:rPr>
      </w:pPr>
    </w:p>
    <w:p w14:paraId="69D933A8" w14:textId="77777777" w:rsidR="00B4130A" w:rsidRDefault="00B4130A" w:rsidP="00B4130A">
      <w:pPr>
        <w:pStyle w:val="ListParagraph"/>
        <w:numPr>
          <w:ilvl w:val="0"/>
          <w:numId w:val="1"/>
        </w:numPr>
        <w:ind w:left="567" w:hanging="567"/>
        <w:jc w:val="both"/>
        <w:rPr>
          <w:rFonts w:ascii="Arial" w:hAnsi="Arial" w:cs="Arial"/>
          <w:b/>
          <w:sz w:val="20"/>
          <w:szCs w:val="20"/>
        </w:rPr>
      </w:pPr>
      <w:r>
        <w:rPr>
          <w:rFonts w:ascii="Arial" w:hAnsi="Arial" w:cs="Arial"/>
          <w:b/>
          <w:sz w:val="20"/>
          <w:szCs w:val="20"/>
        </w:rPr>
        <w:t>Comprehensive Income</w:t>
      </w:r>
    </w:p>
    <w:p w14:paraId="4C9F9E6E" w14:textId="77777777" w:rsidR="00B4130A" w:rsidRDefault="00B4130A" w:rsidP="00B4130A">
      <w:pPr>
        <w:spacing w:after="0" w:line="240" w:lineRule="auto"/>
        <w:jc w:val="both"/>
        <w:rPr>
          <w:rFonts w:ascii="Arial Narrow" w:hAnsi="Arial Narrow" w:cs="Arial"/>
          <w:b/>
          <w:sz w:val="20"/>
          <w:szCs w:val="20"/>
        </w:rPr>
      </w:pPr>
    </w:p>
    <w:tbl>
      <w:tblPr>
        <w:tblW w:w="8643" w:type="dxa"/>
        <w:jc w:val="right"/>
        <w:tblLook w:val="04A0" w:firstRow="1" w:lastRow="0" w:firstColumn="1" w:lastColumn="0" w:noHBand="0" w:noVBand="1"/>
      </w:tblPr>
      <w:tblGrid>
        <w:gridCol w:w="3870"/>
        <w:gridCol w:w="1515"/>
        <w:gridCol w:w="1515"/>
        <w:gridCol w:w="1743"/>
      </w:tblGrid>
      <w:tr w:rsidR="00B4130A" w14:paraId="7471F528" w14:textId="77777777" w:rsidTr="009841CB">
        <w:trPr>
          <w:trHeight w:val="481"/>
          <w:jc w:val="right"/>
        </w:trPr>
        <w:tc>
          <w:tcPr>
            <w:tcW w:w="3870" w:type="dxa"/>
            <w:tcBorders>
              <w:top w:val="single" w:sz="4" w:space="0" w:color="auto"/>
              <w:left w:val="nil"/>
              <w:bottom w:val="single" w:sz="4" w:space="0" w:color="auto"/>
              <w:right w:val="nil"/>
            </w:tcBorders>
            <w:vAlign w:val="bottom"/>
            <w:hideMark/>
          </w:tcPr>
          <w:p w14:paraId="228DB91B" w14:textId="77777777" w:rsidR="00B4130A" w:rsidRDefault="00B4130A">
            <w:pPr>
              <w:rPr>
                <w:rFonts w:ascii="Arial Narrow" w:hAnsi="Arial Narrow" w:cs="Arial"/>
                <w:b/>
                <w:sz w:val="20"/>
                <w:szCs w:val="20"/>
              </w:rPr>
            </w:pPr>
          </w:p>
        </w:tc>
        <w:tc>
          <w:tcPr>
            <w:tcW w:w="1515" w:type="dxa"/>
            <w:tcBorders>
              <w:top w:val="single" w:sz="4" w:space="0" w:color="auto"/>
              <w:left w:val="nil"/>
              <w:bottom w:val="single" w:sz="4" w:space="0" w:color="auto"/>
              <w:right w:val="nil"/>
            </w:tcBorders>
            <w:vAlign w:val="bottom"/>
            <w:hideMark/>
          </w:tcPr>
          <w:p w14:paraId="3202FDCD" w14:textId="77777777" w:rsidR="00B4130A" w:rsidRDefault="009841CB">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2022</w:t>
            </w:r>
          </w:p>
        </w:tc>
        <w:tc>
          <w:tcPr>
            <w:tcW w:w="1515" w:type="dxa"/>
            <w:tcBorders>
              <w:top w:val="single" w:sz="4" w:space="0" w:color="auto"/>
              <w:left w:val="nil"/>
              <w:bottom w:val="single" w:sz="4" w:space="0" w:color="auto"/>
              <w:right w:val="nil"/>
            </w:tcBorders>
            <w:vAlign w:val="bottom"/>
            <w:hideMark/>
          </w:tcPr>
          <w:p w14:paraId="37CF75C5" w14:textId="77777777" w:rsidR="00B4130A" w:rsidRDefault="009841CB">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2021</w:t>
            </w:r>
          </w:p>
          <w:p w14:paraId="2CE5C74E" w14:textId="77777777" w:rsidR="00B4130A" w:rsidRDefault="00B4130A">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As Restated</w:t>
            </w:r>
          </w:p>
        </w:tc>
        <w:tc>
          <w:tcPr>
            <w:tcW w:w="1743" w:type="dxa"/>
            <w:tcBorders>
              <w:top w:val="single" w:sz="4" w:space="0" w:color="auto"/>
              <w:left w:val="nil"/>
              <w:bottom w:val="single" w:sz="4" w:space="0" w:color="auto"/>
              <w:right w:val="nil"/>
            </w:tcBorders>
            <w:vAlign w:val="bottom"/>
            <w:hideMark/>
          </w:tcPr>
          <w:p w14:paraId="061BD2C8" w14:textId="77777777" w:rsidR="00B4130A" w:rsidRDefault="00B4130A">
            <w:pPr>
              <w:spacing w:after="0" w:line="240" w:lineRule="auto"/>
              <w:ind w:right="-104" w:hanging="23"/>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Increase/(Decrease)</w:t>
            </w:r>
          </w:p>
        </w:tc>
      </w:tr>
      <w:tr w:rsidR="003F4BE6" w14:paraId="1ED4B4FA" w14:textId="77777777" w:rsidTr="009841CB">
        <w:trPr>
          <w:trHeight w:val="188"/>
          <w:jc w:val="right"/>
        </w:trPr>
        <w:tc>
          <w:tcPr>
            <w:tcW w:w="3870" w:type="dxa"/>
            <w:noWrap/>
            <w:vAlign w:val="bottom"/>
            <w:hideMark/>
          </w:tcPr>
          <w:p w14:paraId="52D6E9B4" w14:textId="77777777" w:rsidR="003F4BE6" w:rsidRDefault="003F4BE6" w:rsidP="003F4BE6">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Total income</w:t>
            </w:r>
          </w:p>
        </w:tc>
        <w:tc>
          <w:tcPr>
            <w:tcW w:w="1515" w:type="dxa"/>
            <w:vAlign w:val="bottom"/>
          </w:tcPr>
          <w:p w14:paraId="19D08711" w14:textId="77777777" w:rsidR="003F4BE6" w:rsidRDefault="009841CB" w:rsidP="003F4BE6">
            <w:pPr>
              <w:spacing w:after="0" w:line="240" w:lineRule="auto"/>
              <w:jc w:val="right"/>
              <w:rPr>
                <w:rFonts w:ascii="Arial Narrow" w:hAnsi="Arial Narrow" w:cs="Arial"/>
                <w:sz w:val="20"/>
                <w:szCs w:val="20"/>
                <w:lang w:val="en-US"/>
              </w:rPr>
            </w:pPr>
            <w:r>
              <w:rPr>
                <w:rFonts w:ascii="Arial Narrow" w:hAnsi="Arial Narrow" w:cs="Arial"/>
                <w:sz w:val="20"/>
                <w:szCs w:val="20"/>
                <w:lang w:val="en-US"/>
              </w:rPr>
              <w:t>57,796,417,980</w:t>
            </w:r>
          </w:p>
        </w:tc>
        <w:tc>
          <w:tcPr>
            <w:tcW w:w="1515" w:type="dxa"/>
            <w:vAlign w:val="bottom"/>
          </w:tcPr>
          <w:p w14:paraId="6FDA677F" w14:textId="77777777" w:rsidR="003F4BE6" w:rsidRDefault="009841CB" w:rsidP="003F4BE6">
            <w:pPr>
              <w:spacing w:after="0" w:line="240" w:lineRule="auto"/>
              <w:jc w:val="right"/>
              <w:rPr>
                <w:rFonts w:ascii="Arial Narrow" w:hAnsi="Arial Narrow" w:cs="Arial"/>
                <w:sz w:val="20"/>
                <w:szCs w:val="20"/>
                <w:lang w:val="en-US"/>
              </w:rPr>
            </w:pPr>
            <w:r>
              <w:rPr>
                <w:rFonts w:ascii="Arial Narrow" w:hAnsi="Arial Narrow" w:cs="Arial"/>
                <w:sz w:val="20"/>
                <w:szCs w:val="20"/>
                <w:lang w:val="en-US"/>
              </w:rPr>
              <w:t>43,649,028,231</w:t>
            </w:r>
          </w:p>
        </w:tc>
        <w:tc>
          <w:tcPr>
            <w:tcW w:w="1743" w:type="dxa"/>
            <w:vAlign w:val="bottom"/>
          </w:tcPr>
          <w:p w14:paraId="28C1688D" w14:textId="77777777" w:rsidR="003F4BE6" w:rsidRDefault="009841CB" w:rsidP="003F4BE6">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14,147,389,749</w:t>
            </w:r>
          </w:p>
        </w:tc>
      </w:tr>
      <w:tr w:rsidR="00B4130A" w14:paraId="215B2869" w14:textId="77777777" w:rsidTr="002E1E79">
        <w:trPr>
          <w:trHeight w:val="234"/>
          <w:jc w:val="right"/>
        </w:trPr>
        <w:tc>
          <w:tcPr>
            <w:tcW w:w="3870" w:type="dxa"/>
            <w:tcBorders>
              <w:top w:val="nil"/>
              <w:left w:val="nil"/>
              <w:bottom w:val="single" w:sz="4" w:space="0" w:color="auto"/>
              <w:right w:val="nil"/>
            </w:tcBorders>
            <w:noWrap/>
            <w:vAlign w:val="bottom"/>
            <w:hideMark/>
          </w:tcPr>
          <w:p w14:paraId="612FA6CC" w14:textId="77777777" w:rsidR="00B4130A"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Total operating expenses</w:t>
            </w:r>
          </w:p>
        </w:tc>
        <w:tc>
          <w:tcPr>
            <w:tcW w:w="1515" w:type="dxa"/>
            <w:tcBorders>
              <w:top w:val="nil"/>
              <w:left w:val="nil"/>
              <w:bottom w:val="single" w:sz="4" w:space="0" w:color="auto"/>
              <w:right w:val="nil"/>
            </w:tcBorders>
            <w:vAlign w:val="bottom"/>
          </w:tcPr>
          <w:p w14:paraId="7C1EC0FD" w14:textId="77777777" w:rsidR="00B4130A" w:rsidRDefault="009841CB">
            <w:pPr>
              <w:spacing w:after="0" w:line="240" w:lineRule="auto"/>
              <w:jc w:val="right"/>
              <w:rPr>
                <w:rFonts w:ascii="Arial Narrow" w:hAnsi="Arial Narrow" w:cs="Arial"/>
                <w:sz w:val="20"/>
                <w:szCs w:val="20"/>
                <w:lang w:val="en-US"/>
              </w:rPr>
            </w:pPr>
            <w:r>
              <w:rPr>
                <w:rFonts w:ascii="Arial Narrow" w:hAnsi="Arial Narrow" w:cs="Arial"/>
                <w:sz w:val="20"/>
                <w:szCs w:val="20"/>
                <w:lang w:val="en-US"/>
              </w:rPr>
              <w:t>45,873,257,738</w:t>
            </w:r>
          </w:p>
        </w:tc>
        <w:tc>
          <w:tcPr>
            <w:tcW w:w="1515" w:type="dxa"/>
            <w:tcBorders>
              <w:top w:val="nil"/>
              <w:left w:val="nil"/>
              <w:bottom w:val="single" w:sz="4" w:space="0" w:color="auto"/>
              <w:right w:val="nil"/>
            </w:tcBorders>
            <w:vAlign w:val="bottom"/>
          </w:tcPr>
          <w:p w14:paraId="42DEA4CB" w14:textId="77777777" w:rsidR="00B4130A" w:rsidRDefault="009841CB">
            <w:pPr>
              <w:spacing w:after="0" w:line="240" w:lineRule="auto"/>
              <w:jc w:val="right"/>
              <w:rPr>
                <w:rFonts w:ascii="Arial Narrow" w:hAnsi="Arial Narrow" w:cs="Arial"/>
                <w:sz w:val="20"/>
                <w:szCs w:val="20"/>
                <w:lang w:val="en-US"/>
              </w:rPr>
            </w:pPr>
            <w:r>
              <w:rPr>
                <w:rFonts w:ascii="Arial Narrow" w:hAnsi="Arial Narrow" w:cs="Arial"/>
                <w:sz w:val="20"/>
                <w:szCs w:val="20"/>
                <w:lang w:val="en-US"/>
              </w:rPr>
              <w:t>34,339,175,542</w:t>
            </w:r>
          </w:p>
        </w:tc>
        <w:tc>
          <w:tcPr>
            <w:tcW w:w="1743" w:type="dxa"/>
            <w:tcBorders>
              <w:top w:val="nil"/>
              <w:left w:val="nil"/>
              <w:bottom w:val="single" w:sz="4" w:space="0" w:color="auto"/>
              <w:right w:val="nil"/>
            </w:tcBorders>
            <w:vAlign w:val="bottom"/>
          </w:tcPr>
          <w:p w14:paraId="7264D563" w14:textId="77777777" w:rsidR="00B4130A" w:rsidRDefault="009841CB">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11,534,082,196</w:t>
            </w:r>
          </w:p>
        </w:tc>
      </w:tr>
      <w:tr w:rsidR="00B4130A" w14:paraId="7C1BE4FB" w14:textId="77777777" w:rsidTr="002E1E79">
        <w:trPr>
          <w:trHeight w:val="161"/>
          <w:jc w:val="right"/>
        </w:trPr>
        <w:tc>
          <w:tcPr>
            <w:tcW w:w="3870" w:type="dxa"/>
            <w:tcBorders>
              <w:top w:val="single" w:sz="4" w:space="0" w:color="auto"/>
              <w:left w:val="nil"/>
              <w:bottom w:val="single" w:sz="4" w:space="0" w:color="auto"/>
              <w:right w:val="nil"/>
            </w:tcBorders>
            <w:noWrap/>
            <w:vAlign w:val="bottom"/>
            <w:hideMark/>
          </w:tcPr>
          <w:p w14:paraId="4129F7EC" w14:textId="77777777" w:rsidR="00B4130A"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Profit/ (loss) before tax</w:t>
            </w:r>
          </w:p>
        </w:tc>
        <w:tc>
          <w:tcPr>
            <w:tcW w:w="1515" w:type="dxa"/>
            <w:tcBorders>
              <w:top w:val="single" w:sz="4" w:space="0" w:color="auto"/>
              <w:left w:val="nil"/>
              <w:bottom w:val="single" w:sz="4" w:space="0" w:color="auto"/>
              <w:right w:val="nil"/>
            </w:tcBorders>
            <w:vAlign w:val="bottom"/>
          </w:tcPr>
          <w:p w14:paraId="0218DFEC" w14:textId="77777777" w:rsidR="00B4130A" w:rsidRDefault="009841CB">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11,923,160,242</w:t>
            </w:r>
          </w:p>
        </w:tc>
        <w:tc>
          <w:tcPr>
            <w:tcW w:w="1515" w:type="dxa"/>
            <w:tcBorders>
              <w:top w:val="single" w:sz="4" w:space="0" w:color="auto"/>
              <w:left w:val="nil"/>
              <w:bottom w:val="single" w:sz="4" w:space="0" w:color="auto"/>
              <w:right w:val="nil"/>
            </w:tcBorders>
            <w:vAlign w:val="bottom"/>
          </w:tcPr>
          <w:p w14:paraId="0F530348" w14:textId="77777777" w:rsidR="00B4130A" w:rsidRDefault="00497E6D">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9,3</w:t>
            </w:r>
            <w:r w:rsidR="009841CB">
              <w:rPr>
                <w:rFonts w:ascii="Arial Narrow" w:hAnsi="Arial Narrow" w:cs="Arial"/>
                <w:bCs/>
                <w:sz w:val="20"/>
                <w:szCs w:val="20"/>
                <w:lang w:val="en-US"/>
              </w:rPr>
              <w:t>09,852,689</w:t>
            </w:r>
          </w:p>
        </w:tc>
        <w:tc>
          <w:tcPr>
            <w:tcW w:w="1743" w:type="dxa"/>
            <w:tcBorders>
              <w:top w:val="single" w:sz="4" w:space="0" w:color="auto"/>
              <w:left w:val="nil"/>
              <w:bottom w:val="single" w:sz="4" w:space="0" w:color="auto"/>
              <w:right w:val="nil"/>
            </w:tcBorders>
            <w:vAlign w:val="bottom"/>
          </w:tcPr>
          <w:p w14:paraId="7EB18A84" w14:textId="77777777" w:rsidR="00B4130A" w:rsidRDefault="009841CB">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2,613,307,553</w:t>
            </w:r>
          </w:p>
        </w:tc>
      </w:tr>
      <w:tr w:rsidR="00B4130A" w14:paraId="1F57126F" w14:textId="77777777" w:rsidTr="002E1E79">
        <w:trPr>
          <w:trHeight w:val="198"/>
          <w:jc w:val="right"/>
        </w:trPr>
        <w:tc>
          <w:tcPr>
            <w:tcW w:w="3870" w:type="dxa"/>
            <w:tcBorders>
              <w:top w:val="single" w:sz="4" w:space="0" w:color="auto"/>
            </w:tcBorders>
            <w:noWrap/>
            <w:vAlign w:val="bottom"/>
            <w:hideMark/>
          </w:tcPr>
          <w:p w14:paraId="552C7B47" w14:textId="77777777" w:rsidR="00B4130A" w:rsidRDefault="002E1E79">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 xml:space="preserve">   Income tax expense</w:t>
            </w:r>
          </w:p>
        </w:tc>
        <w:tc>
          <w:tcPr>
            <w:tcW w:w="1515" w:type="dxa"/>
            <w:tcBorders>
              <w:top w:val="single" w:sz="4" w:space="0" w:color="auto"/>
            </w:tcBorders>
            <w:vAlign w:val="bottom"/>
          </w:tcPr>
          <w:p w14:paraId="268223A4" w14:textId="77777777" w:rsidR="00B4130A" w:rsidRDefault="009841CB">
            <w:pPr>
              <w:spacing w:after="0" w:line="240" w:lineRule="auto"/>
              <w:jc w:val="right"/>
              <w:rPr>
                <w:rFonts w:ascii="Arial Narrow" w:hAnsi="Arial Narrow" w:cs="Arial"/>
                <w:sz w:val="20"/>
                <w:szCs w:val="20"/>
                <w:lang w:val="en-US"/>
              </w:rPr>
            </w:pPr>
            <w:r>
              <w:rPr>
                <w:rFonts w:ascii="Arial Narrow" w:hAnsi="Arial Narrow" w:cs="Arial"/>
                <w:sz w:val="20"/>
                <w:szCs w:val="20"/>
                <w:lang w:val="en-US"/>
              </w:rPr>
              <w:t>1,840,816,383</w:t>
            </w:r>
          </w:p>
        </w:tc>
        <w:tc>
          <w:tcPr>
            <w:tcW w:w="1515" w:type="dxa"/>
            <w:tcBorders>
              <w:top w:val="single" w:sz="4" w:space="0" w:color="auto"/>
            </w:tcBorders>
            <w:vAlign w:val="bottom"/>
          </w:tcPr>
          <w:p w14:paraId="699E240A" w14:textId="77777777" w:rsidR="00B4130A" w:rsidRDefault="009841CB">
            <w:pPr>
              <w:spacing w:after="0" w:line="240" w:lineRule="auto"/>
              <w:jc w:val="right"/>
              <w:rPr>
                <w:rFonts w:ascii="Arial Narrow" w:hAnsi="Arial Narrow" w:cs="Arial"/>
                <w:sz w:val="20"/>
                <w:szCs w:val="20"/>
                <w:lang w:val="en-US"/>
              </w:rPr>
            </w:pPr>
            <w:r>
              <w:rPr>
                <w:rFonts w:ascii="Arial Narrow" w:hAnsi="Arial Narrow" w:cs="Arial"/>
                <w:sz w:val="20"/>
                <w:szCs w:val="20"/>
                <w:lang w:val="en-US"/>
              </w:rPr>
              <w:t>1,014,577,043</w:t>
            </w:r>
          </w:p>
        </w:tc>
        <w:tc>
          <w:tcPr>
            <w:tcW w:w="1743" w:type="dxa"/>
            <w:tcBorders>
              <w:top w:val="single" w:sz="4" w:space="0" w:color="auto"/>
            </w:tcBorders>
            <w:vAlign w:val="bottom"/>
          </w:tcPr>
          <w:p w14:paraId="72D98F30" w14:textId="77777777" w:rsidR="00B4130A" w:rsidRDefault="009841CB">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826,239,340</w:t>
            </w:r>
          </w:p>
        </w:tc>
      </w:tr>
      <w:tr w:rsidR="00B4130A" w14:paraId="3257CE92" w14:textId="77777777" w:rsidTr="009841CB">
        <w:trPr>
          <w:trHeight w:val="153"/>
          <w:jc w:val="right"/>
        </w:trPr>
        <w:tc>
          <w:tcPr>
            <w:tcW w:w="3870" w:type="dxa"/>
            <w:tcBorders>
              <w:top w:val="nil"/>
              <w:left w:val="nil"/>
              <w:bottom w:val="single" w:sz="4" w:space="0" w:color="auto"/>
              <w:right w:val="nil"/>
            </w:tcBorders>
            <w:noWrap/>
            <w:vAlign w:val="bottom"/>
            <w:hideMark/>
          </w:tcPr>
          <w:p w14:paraId="6A6AF8AD" w14:textId="77777777" w:rsidR="00B4130A" w:rsidRDefault="002E1E79">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 xml:space="preserve">   </w:t>
            </w:r>
            <w:r w:rsidR="00B4130A">
              <w:rPr>
                <w:rFonts w:ascii="Arial Narrow" w:eastAsia="Times New Roman" w:hAnsi="Arial Narrow" w:cs="Arial"/>
                <w:bCs/>
                <w:sz w:val="20"/>
                <w:szCs w:val="20"/>
                <w:lang w:val="en-US" w:eastAsia="ar-SA"/>
              </w:rPr>
              <w:t>Income tax expense/</w:t>
            </w:r>
            <w:r>
              <w:rPr>
                <w:rFonts w:ascii="Arial Narrow" w:eastAsia="Times New Roman" w:hAnsi="Arial Narrow" w:cs="Arial"/>
                <w:bCs/>
                <w:sz w:val="20"/>
                <w:szCs w:val="20"/>
                <w:lang w:val="en-US" w:eastAsia="ar-SA"/>
              </w:rPr>
              <w:t>(</w:t>
            </w:r>
            <w:r w:rsidR="00B4130A">
              <w:rPr>
                <w:rFonts w:ascii="Arial Narrow" w:eastAsia="Times New Roman" w:hAnsi="Arial Narrow" w:cs="Arial"/>
                <w:bCs/>
                <w:sz w:val="20"/>
                <w:szCs w:val="20"/>
                <w:lang w:val="en-US" w:eastAsia="ar-SA"/>
              </w:rPr>
              <w:t>benefit</w:t>
            </w:r>
            <w:r>
              <w:rPr>
                <w:rFonts w:ascii="Arial Narrow" w:eastAsia="Times New Roman" w:hAnsi="Arial Narrow" w:cs="Arial"/>
                <w:bCs/>
                <w:sz w:val="20"/>
                <w:szCs w:val="20"/>
                <w:lang w:val="en-US" w:eastAsia="ar-SA"/>
              </w:rPr>
              <w:t>)</w:t>
            </w:r>
            <w:r w:rsidR="00B4130A">
              <w:rPr>
                <w:rFonts w:ascii="Arial Narrow" w:eastAsia="Times New Roman" w:hAnsi="Arial Narrow" w:cs="Arial"/>
                <w:bCs/>
                <w:sz w:val="20"/>
                <w:szCs w:val="20"/>
                <w:lang w:val="en-US" w:eastAsia="ar-SA"/>
              </w:rPr>
              <w:t xml:space="preserve"> – deferred</w:t>
            </w:r>
          </w:p>
        </w:tc>
        <w:tc>
          <w:tcPr>
            <w:tcW w:w="1515" w:type="dxa"/>
            <w:tcBorders>
              <w:top w:val="nil"/>
              <w:left w:val="nil"/>
              <w:bottom w:val="single" w:sz="4" w:space="0" w:color="auto"/>
              <w:right w:val="nil"/>
            </w:tcBorders>
            <w:vAlign w:val="bottom"/>
          </w:tcPr>
          <w:p w14:paraId="24D2E236" w14:textId="77777777" w:rsidR="00B4130A" w:rsidRDefault="009841CB">
            <w:pPr>
              <w:spacing w:after="0" w:line="240" w:lineRule="auto"/>
              <w:jc w:val="right"/>
              <w:rPr>
                <w:rFonts w:ascii="Arial Narrow" w:hAnsi="Arial Narrow" w:cs="Arial"/>
                <w:sz w:val="20"/>
                <w:szCs w:val="20"/>
                <w:lang w:val="en-US"/>
              </w:rPr>
            </w:pPr>
            <w:r>
              <w:rPr>
                <w:rFonts w:ascii="Arial Narrow" w:hAnsi="Arial Narrow" w:cs="Arial"/>
                <w:sz w:val="20"/>
                <w:szCs w:val="20"/>
                <w:lang w:val="en-US"/>
              </w:rPr>
              <w:t>(498,279,991)</w:t>
            </w:r>
          </w:p>
        </w:tc>
        <w:tc>
          <w:tcPr>
            <w:tcW w:w="1515" w:type="dxa"/>
            <w:tcBorders>
              <w:top w:val="nil"/>
              <w:left w:val="nil"/>
              <w:bottom w:val="single" w:sz="4" w:space="0" w:color="auto"/>
              <w:right w:val="nil"/>
            </w:tcBorders>
            <w:vAlign w:val="bottom"/>
          </w:tcPr>
          <w:p w14:paraId="493CF188" w14:textId="77777777" w:rsidR="00B4130A" w:rsidRDefault="009841CB">
            <w:pPr>
              <w:spacing w:after="0" w:line="240" w:lineRule="auto"/>
              <w:jc w:val="right"/>
              <w:rPr>
                <w:rFonts w:ascii="Arial Narrow" w:hAnsi="Arial Narrow" w:cs="Arial"/>
                <w:sz w:val="20"/>
                <w:szCs w:val="20"/>
                <w:lang w:val="en-US"/>
              </w:rPr>
            </w:pPr>
            <w:r>
              <w:rPr>
                <w:rFonts w:ascii="Arial Narrow" w:hAnsi="Arial Narrow" w:cs="Arial"/>
                <w:sz w:val="20"/>
                <w:szCs w:val="20"/>
                <w:lang w:val="en-US"/>
              </w:rPr>
              <w:t>(64,246,726)</w:t>
            </w:r>
          </w:p>
        </w:tc>
        <w:tc>
          <w:tcPr>
            <w:tcW w:w="1743" w:type="dxa"/>
            <w:tcBorders>
              <w:top w:val="nil"/>
              <w:left w:val="nil"/>
              <w:bottom w:val="single" w:sz="4" w:space="0" w:color="auto"/>
              <w:right w:val="nil"/>
            </w:tcBorders>
            <w:vAlign w:val="bottom"/>
          </w:tcPr>
          <w:p w14:paraId="420AC5EC" w14:textId="77777777" w:rsidR="00B4130A" w:rsidRDefault="009841CB">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(434,033,265)</w:t>
            </w:r>
          </w:p>
        </w:tc>
      </w:tr>
      <w:tr w:rsidR="002E1E79" w14:paraId="2511EB81" w14:textId="77777777" w:rsidTr="009841CB">
        <w:trPr>
          <w:trHeight w:val="179"/>
          <w:jc w:val="right"/>
        </w:trPr>
        <w:tc>
          <w:tcPr>
            <w:tcW w:w="3870" w:type="dxa"/>
            <w:tcBorders>
              <w:top w:val="single" w:sz="4" w:space="0" w:color="auto"/>
              <w:left w:val="nil"/>
              <w:bottom w:val="nil"/>
              <w:right w:val="nil"/>
            </w:tcBorders>
            <w:noWrap/>
            <w:vAlign w:val="bottom"/>
          </w:tcPr>
          <w:p w14:paraId="6D9C76BA" w14:textId="77777777" w:rsidR="002E1E79" w:rsidRDefault="002E1E79">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Total Income tax expense net of deferred tax</w:t>
            </w:r>
          </w:p>
        </w:tc>
        <w:tc>
          <w:tcPr>
            <w:tcW w:w="1515" w:type="dxa"/>
            <w:tcBorders>
              <w:top w:val="single" w:sz="4" w:space="0" w:color="auto"/>
              <w:left w:val="nil"/>
              <w:bottom w:val="nil"/>
              <w:right w:val="nil"/>
            </w:tcBorders>
            <w:vAlign w:val="bottom"/>
          </w:tcPr>
          <w:p w14:paraId="2683A68C" w14:textId="77777777" w:rsidR="002E1E79" w:rsidRDefault="002E1E79">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1,342,536,392</w:t>
            </w:r>
          </w:p>
        </w:tc>
        <w:tc>
          <w:tcPr>
            <w:tcW w:w="1515" w:type="dxa"/>
            <w:tcBorders>
              <w:top w:val="single" w:sz="4" w:space="0" w:color="auto"/>
              <w:left w:val="nil"/>
              <w:bottom w:val="nil"/>
              <w:right w:val="nil"/>
            </w:tcBorders>
            <w:vAlign w:val="bottom"/>
          </w:tcPr>
          <w:p w14:paraId="23990EC5" w14:textId="77777777" w:rsidR="002E1E79" w:rsidRDefault="002E1E79">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950,330,317</w:t>
            </w:r>
          </w:p>
        </w:tc>
        <w:tc>
          <w:tcPr>
            <w:tcW w:w="1743" w:type="dxa"/>
            <w:tcBorders>
              <w:top w:val="single" w:sz="4" w:space="0" w:color="auto"/>
              <w:left w:val="nil"/>
              <w:bottom w:val="nil"/>
              <w:right w:val="nil"/>
            </w:tcBorders>
            <w:vAlign w:val="bottom"/>
          </w:tcPr>
          <w:p w14:paraId="41D8611A" w14:textId="77777777" w:rsidR="002E1E79" w:rsidRDefault="002E1E79">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392,206,075</w:t>
            </w:r>
          </w:p>
        </w:tc>
      </w:tr>
      <w:tr w:rsidR="00B4130A" w14:paraId="0D6B958C" w14:textId="77777777" w:rsidTr="009841CB">
        <w:trPr>
          <w:trHeight w:val="179"/>
          <w:jc w:val="right"/>
        </w:trPr>
        <w:tc>
          <w:tcPr>
            <w:tcW w:w="3870" w:type="dxa"/>
            <w:tcBorders>
              <w:top w:val="single" w:sz="4" w:space="0" w:color="auto"/>
              <w:left w:val="nil"/>
              <w:bottom w:val="nil"/>
              <w:right w:val="nil"/>
            </w:tcBorders>
            <w:noWrap/>
            <w:vAlign w:val="bottom"/>
            <w:hideMark/>
          </w:tcPr>
          <w:p w14:paraId="3B846B29" w14:textId="77777777" w:rsidR="00B4130A"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Profit/(loss) after tax</w:t>
            </w:r>
          </w:p>
        </w:tc>
        <w:tc>
          <w:tcPr>
            <w:tcW w:w="1515" w:type="dxa"/>
            <w:tcBorders>
              <w:top w:val="single" w:sz="4" w:space="0" w:color="auto"/>
              <w:left w:val="nil"/>
              <w:bottom w:val="nil"/>
              <w:right w:val="nil"/>
            </w:tcBorders>
            <w:vAlign w:val="bottom"/>
          </w:tcPr>
          <w:p w14:paraId="620FDFAE" w14:textId="77777777" w:rsidR="00B4130A" w:rsidRDefault="009841CB">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10,580,623,850</w:t>
            </w:r>
          </w:p>
        </w:tc>
        <w:tc>
          <w:tcPr>
            <w:tcW w:w="1515" w:type="dxa"/>
            <w:tcBorders>
              <w:top w:val="single" w:sz="4" w:space="0" w:color="auto"/>
              <w:left w:val="nil"/>
              <w:bottom w:val="nil"/>
              <w:right w:val="nil"/>
            </w:tcBorders>
            <w:vAlign w:val="bottom"/>
          </w:tcPr>
          <w:p w14:paraId="1605039C" w14:textId="77777777" w:rsidR="00B4130A" w:rsidRDefault="009841CB">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8,359,522,372</w:t>
            </w:r>
          </w:p>
        </w:tc>
        <w:tc>
          <w:tcPr>
            <w:tcW w:w="1743" w:type="dxa"/>
            <w:tcBorders>
              <w:top w:val="single" w:sz="4" w:space="0" w:color="auto"/>
              <w:left w:val="nil"/>
              <w:bottom w:val="nil"/>
              <w:right w:val="nil"/>
            </w:tcBorders>
            <w:vAlign w:val="bottom"/>
          </w:tcPr>
          <w:p w14:paraId="596832A4" w14:textId="77777777" w:rsidR="00B4130A" w:rsidRDefault="009841CB">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2,221,101,478</w:t>
            </w:r>
          </w:p>
        </w:tc>
      </w:tr>
      <w:tr w:rsidR="00B4130A" w14:paraId="50E72E67" w14:textId="77777777" w:rsidTr="009841CB">
        <w:trPr>
          <w:trHeight w:val="144"/>
          <w:jc w:val="right"/>
        </w:trPr>
        <w:tc>
          <w:tcPr>
            <w:tcW w:w="3870" w:type="dxa"/>
            <w:tcBorders>
              <w:top w:val="nil"/>
              <w:left w:val="nil"/>
              <w:bottom w:val="single" w:sz="4" w:space="0" w:color="auto"/>
              <w:right w:val="nil"/>
            </w:tcBorders>
            <w:noWrap/>
            <w:vAlign w:val="bottom"/>
            <w:hideMark/>
          </w:tcPr>
          <w:p w14:paraId="7354D8C6" w14:textId="77777777" w:rsidR="00B4130A"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Financial assistance/subsidy/contribution</w:t>
            </w:r>
          </w:p>
        </w:tc>
        <w:tc>
          <w:tcPr>
            <w:tcW w:w="1515" w:type="dxa"/>
            <w:tcBorders>
              <w:top w:val="nil"/>
              <w:left w:val="nil"/>
              <w:bottom w:val="single" w:sz="4" w:space="0" w:color="auto"/>
              <w:right w:val="nil"/>
            </w:tcBorders>
            <w:vAlign w:val="bottom"/>
          </w:tcPr>
          <w:p w14:paraId="190D179F" w14:textId="77777777" w:rsidR="00B4130A" w:rsidRDefault="00497E6D">
            <w:pPr>
              <w:spacing w:after="0" w:line="240" w:lineRule="auto"/>
              <w:jc w:val="right"/>
              <w:rPr>
                <w:rFonts w:ascii="Arial Narrow" w:hAnsi="Arial Narrow" w:cs="Arial"/>
                <w:sz w:val="20"/>
                <w:szCs w:val="20"/>
                <w:lang w:val="en-US"/>
              </w:rPr>
            </w:pPr>
            <w:r>
              <w:rPr>
                <w:rFonts w:ascii="Arial Narrow" w:hAnsi="Arial Narrow" w:cs="Arial"/>
                <w:sz w:val="20"/>
                <w:szCs w:val="20"/>
                <w:lang w:val="en-US"/>
              </w:rPr>
              <w:t>6,280,453,26</w:t>
            </w:r>
            <w:r w:rsidR="009841CB">
              <w:rPr>
                <w:rFonts w:ascii="Arial Narrow" w:hAnsi="Arial Narrow" w:cs="Arial"/>
                <w:sz w:val="20"/>
                <w:szCs w:val="20"/>
                <w:lang w:val="en-US"/>
              </w:rPr>
              <w:t>2</w:t>
            </w:r>
          </w:p>
        </w:tc>
        <w:tc>
          <w:tcPr>
            <w:tcW w:w="1515" w:type="dxa"/>
            <w:tcBorders>
              <w:top w:val="nil"/>
              <w:left w:val="nil"/>
              <w:bottom w:val="single" w:sz="4" w:space="0" w:color="auto"/>
              <w:right w:val="nil"/>
            </w:tcBorders>
            <w:vAlign w:val="bottom"/>
          </w:tcPr>
          <w:p w14:paraId="264FF39F" w14:textId="77777777" w:rsidR="00B4130A" w:rsidRDefault="009841CB">
            <w:pPr>
              <w:spacing w:after="0" w:line="240" w:lineRule="auto"/>
              <w:jc w:val="right"/>
              <w:rPr>
                <w:rFonts w:ascii="Arial Narrow" w:hAnsi="Arial Narrow" w:cs="Arial"/>
                <w:sz w:val="20"/>
                <w:szCs w:val="20"/>
                <w:lang w:val="en-US"/>
              </w:rPr>
            </w:pPr>
            <w:r>
              <w:rPr>
                <w:rFonts w:ascii="Arial Narrow" w:hAnsi="Arial Narrow" w:cs="Arial"/>
                <w:sz w:val="20"/>
                <w:szCs w:val="20"/>
                <w:lang w:val="en-US"/>
              </w:rPr>
              <w:t>4,714,283,076</w:t>
            </w:r>
          </w:p>
        </w:tc>
        <w:tc>
          <w:tcPr>
            <w:tcW w:w="1743" w:type="dxa"/>
            <w:tcBorders>
              <w:top w:val="nil"/>
              <w:left w:val="nil"/>
              <w:bottom w:val="single" w:sz="4" w:space="0" w:color="auto"/>
              <w:right w:val="nil"/>
            </w:tcBorders>
            <w:vAlign w:val="bottom"/>
          </w:tcPr>
          <w:p w14:paraId="6441F1D4" w14:textId="77777777" w:rsidR="00B4130A" w:rsidRDefault="009841CB">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1,566,170,186</w:t>
            </w:r>
          </w:p>
        </w:tc>
      </w:tr>
      <w:tr w:rsidR="00B4130A" w14:paraId="0F034593" w14:textId="77777777" w:rsidTr="009841CB">
        <w:trPr>
          <w:trHeight w:val="260"/>
          <w:jc w:val="right"/>
        </w:trPr>
        <w:tc>
          <w:tcPr>
            <w:tcW w:w="3870" w:type="dxa"/>
            <w:tcBorders>
              <w:top w:val="single" w:sz="4" w:space="0" w:color="auto"/>
              <w:left w:val="nil"/>
              <w:bottom w:val="nil"/>
              <w:right w:val="nil"/>
            </w:tcBorders>
            <w:noWrap/>
            <w:vAlign w:val="bottom"/>
            <w:hideMark/>
          </w:tcPr>
          <w:p w14:paraId="4FEBFDD5" w14:textId="77777777" w:rsidR="00B4130A"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Net income/(loss)</w:t>
            </w:r>
          </w:p>
        </w:tc>
        <w:tc>
          <w:tcPr>
            <w:tcW w:w="1515" w:type="dxa"/>
            <w:tcBorders>
              <w:top w:val="single" w:sz="4" w:space="0" w:color="auto"/>
              <w:left w:val="nil"/>
              <w:bottom w:val="nil"/>
              <w:right w:val="nil"/>
            </w:tcBorders>
            <w:vAlign w:val="bottom"/>
          </w:tcPr>
          <w:p w14:paraId="2B75BB1B" w14:textId="77777777" w:rsidR="00B4130A" w:rsidRDefault="009841CB">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4,300,170,588</w:t>
            </w:r>
          </w:p>
        </w:tc>
        <w:tc>
          <w:tcPr>
            <w:tcW w:w="1515" w:type="dxa"/>
            <w:tcBorders>
              <w:top w:val="single" w:sz="4" w:space="0" w:color="auto"/>
              <w:left w:val="nil"/>
              <w:bottom w:val="nil"/>
              <w:right w:val="nil"/>
            </w:tcBorders>
            <w:vAlign w:val="bottom"/>
          </w:tcPr>
          <w:p w14:paraId="5E97D5C5" w14:textId="77777777" w:rsidR="00B4130A" w:rsidRDefault="009841CB">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3,645,239,296</w:t>
            </w:r>
          </w:p>
        </w:tc>
        <w:tc>
          <w:tcPr>
            <w:tcW w:w="1743" w:type="dxa"/>
            <w:tcBorders>
              <w:top w:val="single" w:sz="4" w:space="0" w:color="auto"/>
              <w:left w:val="nil"/>
              <w:bottom w:val="nil"/>
              <w:right w:val="nil"/>
            </w:tcBorders>
            <w:vAlign w:val="bottom"/>
          </w:tcPr>
          <w:p w14:paraId="01F0D40A" w14:textId="77777777" w:rsidR="00B4130A" w:rsidRDefault="00497E6D">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654,931</w:t>
            </w:r>
            <w:r w:rsidR="009841CB">
              <w:rPr>
                <w:rFonts w:ascii="Arial Narrow" w:hAnsi="Arial Narrow" w:cs="Arial"/>
                <w:sz w:val="20"/>
                <w:szCs w:val="20"/>
                <w:lang w:val="en-US"/>
              </w:rPr>
              <w:t>,292</w:t>
            </w:r>
          </w:p>
        </w:tc>
      </w:tr>
      <w:tr w:rsidR="00B4130A" w14:paraId="3A73291F" w14:textId="77777777" w:rsidTr="009841CB">
        <w:trPr>
          <w:trHeight w:val="191"/>
          <w:jc w:val="right"/>
        </w:trPr>
        <w:tc>
          <w:tcPr>
            <w:tcW w:w="3870" w:type="dxa"/>
            <w:tcBorders>
              <w:top w:val="nil"/>
              <w:left w:val="nil"/>
              <w:bottom w:val="single" w:sz="4" w:space="0" w:color="auto"/>
              <w:right w:val="nil"/>
            </w:tcBorders>
            <w:noWrap/>
            <w:vAlign w:val="bottom"/>
            <w:hideMark/>
          </w:tcPr>
          <w:p w14:paraId="0B90C5E4" w14:textId="77777777" w:rsidR="00B4130A"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Other comprehensive income (loss) for the period</w:t>
            </w:r>
          </w:p>
        </w:tc>
        <w:tc>
          <w:tcPr>
            <w:tcW w:w="1515" w:type="dxa"/>
            <w:tcBorders>
              <w:top w:val="nil"/>
              <w:left w:val="nil"/>
              <w:bottom w:val="single" w:sz="4" w:space="0" w:color="auto"/>
              <w:right w:val="nil"/>
            </w:tcBorders>
            <w:vAlign w:val="bottom"/>
          </w:tcPr>
          <w:p w14:paraId="4C0469C2" w14:textId="77777777" w:rsidR="00B4130A" w:rsidRDefault="009841CB">
            <w:pPr>
              <w:spacing w:after="0" w:line="240" w:lineRule="auto"/>
              <w:jc w:val="right"/>
              <w:rPr>
                <w:rFonts w:ascii="Arial Narrow" w:hAnsi="Arial Narrow" w:cs="Arial"/>
                <w:sz w:val="20"/>
                <w:szCs w:val="20"/>
                <w:lang w:val="en-US"/>
              </w:rPr>
            </w:pPr>
            <w:r>
              <w:rPr>
                <w:rFonts w:ascii="Arial Narrow" w:hAnsi="Arial Narrow" w:cs="Arial"/>
                <w:sz w:val="20"/>
                <w:szCs w:val="20"/>
                <w:lang w:val="en-US"/>
              </w:rPr>
              <w:t>(13,807,232)</w:t>
            </w:r>
          </w:p>
        </w:tc>
        <w:tc>
          <w:tcPr>
            <w:tcW w:w="1515" w:type="dxa"/>
            <w:tcBorders>
              <w:top w:val="nil"/>
              <w:left w:val="nil"/>
              <w:bottom w:val="single" w:sz="4" w:space="0" w:color="auto"/>
              <w:right w:val="nil"/>
            </w:tcBorders>
            <w:vAlign w:val="bottom"/>
          </w:tcPr>
          <w:p w14:paraId="605A1E94" w14:textId="77777777" w:rsidR="00B4130A" w:rsidRDefault="009841CB" w:rsidP="00FB4360">
            <w:pPr>
              <w:spacing w:after="0" w:line="240" w:lineRule="auto"/>
              <w:jc w:val="right"/>
              <w:rPr>
                <w:rFonts w:ascii="Arial Narrow" w:hAnsi="Arial Narrow" w:cs="Arial"/>
                <w:sz w:val="20"/>
                <w:szCs w:val="20"/>
                <w:lang w:val="en-US"/>
              </w:rPr>
            </w:pPr>
            <w:r>
              <w:rPr>
                <w:rFonts w:ascii="Arial Narrow" w:hAnsi="Arial Narrow" w:cs="Arial"/>
                <w:sz w:val="20"/>
                <w:szCs w:val="20"/>
                <w:lang w:val="en-US"/>
              </w:rPr>
              <w:t>1,200,764</w:t>
            </w:r>
          </w:p>
        </w:tc>
        <w:tc>
          <w:tcPr>
            <w:tcW w:w="1743" w:type="dxa"/>
            <w:tcBorders>
              <w:top w:val="nil"/>
              <w:left w:val="nil"/>
              <w:bottom w:val="single" w:sz="4" w:space="0" w:color="auto"/>
              <w:right w:val="nil"/>
            </w:tcBorders>
            <w:vAlign w:val="bottom"/>
          </w:tcPr>
          <w:p w14:paraId="7C53EB34" w14:textId="77777777" w:rsidR="00B4130A" w:rsidRDefault="009841CB" w:rsidP="00961C48">
            <w:pPr>
              <w:spacing w:after="0" w:line="240" w:lineRule="auto"/>
              <w:ind w:right="-104"/>
              <w:jc w:val="right"/>
              <w:rPr>
                <w:rFonts w:ascii="Arial Narrow" w:hAnsi="Arial Narrow"/>
                <w:sz w:val="20"/>
                <w:szCs w:val="20"/>
                <w:lang w:val="en-US"/>
              </w:rPr>
            </w:pPr>
            <w:r>
              <w:rPr>
                <w:rFonts w:ascii="Arial Narrow" w:hAnsi="Arial Narrow"/>
                <w:sz w:val="20"/>
                <w:szCs w:val="20"/>
                <w:lang w:val="en-US"/>
              </w:rPr>
              <w:t>(</w:t>
            </w:r>
            <w:r w:rsidR="00961C48">
              <w:rPr>
                <w:rFonts w:ascii="Arial Narrow" w:hAnsi="Arial Narrow"/>
                <w:sz w:val="20"/>
                <w:szCs w:val="20"/>
                <w:lang w:val="en-US"/>
              </w:rPr>
              <w:t>15,007,996</w:t>
            </w:r>
            <w:r>
              <w:rPr>
                <w:rFonts w:ascii="Arial Narrow" w:hAnsi="Arial Narrow"/>
                <w:sz w:val="20"/>
                <w:szCs w:val="20"/>
                <w:lang w:val="en-US"/>
              </w:rPr>
              <w:t>)</w:t>
            </w:r>
          </w:p>
        </w:tc>
      </w:tr>
      <w:tr w:rsidR="00B4130A" w14:paraId="7DD0AA1B" w14:textId="77777777" w:rsidTr="009841CB">
        <w:trPr>
          <w:trHeight w:val="206"/>
          <w:jc w:val="right"/>
        </w:trPr>
        <w:tc>
          <w:tcPr>
            <w:tcW w:w="3870" w:type="dxa"/>
            <w:tcBorders>
              <w:top w:val="single" w:sz="4" w:space="0" w:color="auto"/>
              <w:left w:val="nil"/>
              <w:bottom w:val="double" w:sz="4" w:space="0" w:color="auto"/>
              <w:right w:val="nil"/>
            </w:tcBorders>
            <w:noWrap/>
            <w:vAlign w:val="bottom"/>
            <w:hideMark/>
          </w:tcPr>
          <w:p w14:paraId="6EFD4E38" w14:textId="77777777" w:rsidR="00B4130A" w:rsidRDefault="00B4130A">
            <w:pPr>
              <w:suppressAutoHyphens/>
              <w:snapToGrid w:val="0"/>
              <w:spacing w:after="0" w:line="240" w:lineRule="auto"/>
              <w:ind w:hanging="93"/>
              <w:rPr>
                <w:rFonts w:ascii="Arial Narrow" w:eastAsia="Times New Roman" w:hAnsi="Arial Narrow" w:cs="Arial"/>
                <w:b/>
                <w:bCs/>
                <w:sz w:val="20"/>
                <w:szCs w:val="20"/>
                <w:lang w:val="en-US" w:eastAsia="ar-SA"/>
              </w:rPr>
            </w:pPr>
            <w:r>
              <w:rPr>
                <w:rFonts w:ascii="Arial Narrow" w:eastAsia="Times New Roman" w:hAnsi="Arial Narrow" w:cs="Arial"/>
                <w:b/>
                <w:bCs/>
                <w:sz w:val="20"/>
                <w:szCs w:val="20"/>
                <w:lang w:val="en-US" w:eastAsia="ar-SA"/>
              </w:rPr>
              <w:t>Total Comprehensive Income</w:t>
            </w:r>
          </w:p>
        </w:tc>
        <w:tc>
          <w:tcPr>
            <w:tcW w:w="1515" w:type="dxa"/>
            <w:tcBorders>
              <w:top w:val="single" w:sz="4" w:space="0" w:color="auto"/>
              <w:left w:val="nil"/>
              <w:bottom w:val="double" w:sz="4" w:space="0" w:color="auto"/>
              <w:right w:val="nil"/>
            </w:tcBorders>
            <w:vAlign w:val="bottom"/>
          </w:tcPr>
          <w:p w14:paraId="06AEB0E2" w14:textId="77777777" w:rsidR="00B4130A" w:rsidRDefault="009841CB">
            <w:pPr>
              <w:spacing w:after="0" w:line="240" w:lineRule="auto"/>
              <w:jc w:val="right"/>
              <w:rPr>
                <w:rFonts w:ascii="Arial Narrow" w:hAnsi="Arial Narrow" w:cs="Arial"/>
                <w:b/>
                <w:sz w:val="20"/>
                <w:szCs w:val="20"/>
                <w:lang w:val="en-US"/>
              </w:rPr>
            </w:pPr>
            <w:r>
              <w:rPr>
                <w:rFonts w:ascii="Arial Narrow" w:hAnsi="Arial Narrow" w:cs="Arial"/>
                <w:b/>
                <w:sz w:val="20"/>
                <w:szCs w:val="20"/>
                <w:lang w:val="en-US"/>
              </w:rPr>
              <w:t>4,286,363,356</w:t>
            </w:r>
          </w:p>
        </w:tc>
        <w:tc>
          <w:tcPr>
            <w:tcW w:w="1515" w:type="dxa"/>
            <w:tcBorders>
              <w:top w:val="single" w:sz="4" w:space="0" w:color="auto"/>
              <w:left w:val="nil"/>
              <w:bottom w:val="double" w:sz="4" w:space="0" w:color="auto"/>
              <w:right w:val="nil"/>
            </w:tcBorders>
            <w:vAlign w:val="bottom"/>
          </w:tcPr>
          <w:p w14:paraId="76C48F5C" w14:textId="77777777" w:rsidR="00B4130A" w:rsidRDefault="00497E6D">
            <w:pPr>
              <w:spacing w:after="0" w:line="240" w:lineRule="auto"/>
              <w:jc w:val="right"/>
              <w:rPr>
                <w:rFonts w:ascii="Arial Narrow" w:hAnsi="Arial Narrow" w:cs="Arial"/>
                <w:b/>
                <w:sz w:val="20"/>
                <w:szCs w:val="20"/>
                <w:lang w:val="en-US"/>
              </w:rPr>
            </w:pPr>
            <w:r>
              <w:rPr>
                <w:rFonts w:ascii="Arial Narrow" w:hAnsi="Arial Narrow" w:cs="Arial"/>
                <w:b/>
                <w:sz w:val="20"/>
                <w:szCs w:val="20"/>
                <w:lang w:val="en-US"/>
              </w:rPr>
              <w:t>3</w:t>
            </w:r>
            <w:r w:rsidR="009841CB">
              <w:rPr>
                <w:rFonts w:ascii="Arial Narrow" w:hAnsi="Arial Narrow" w:cs="Arial"/>
                <w:b/>
                <w:sz w:val="20"/>
                <w:szCs w:val="20"/>
                <w:lang w:val="en-US"/>
              </w:rPr>
              <w:t>,646,440,060</w:t>
            </w:r>
          </w:p>
        </w:tc>
        <w:tc>
          <w:tcPr>
            <w:tcW w:w="1743" w:type="dxa"/>
            <w:tcBorders>
              <w:top w:val="single" w:sz="4" w:space="0" w:color="auto"/>
              <w:left w:val="nil"/>
              <w:bottom w:val="double" w:sz="4" w:space="0" w:color="auto"/>
              <w:right w:val="nil"/>
            </w:tcBorders>
            <w:vAlign w:val="bottom"/>
          </w:tcPr>
          <w:p w14:paraId="6DBCC4A4" w14:textId="77777777" w:rsidR="00B4130A" w:rsidRDefault="009841CB">
            <w:pPr>
              <w:spacing w:after="0" w:line="240" w:lineRule="auto"/>
              <w:ind w:right="-104"/>
              <w:jc w:val="right"/>
              <w:rPr>
                <w:rFonts w:ascii="Arial Narrow" w:hAnsi="Arial Narrow" w:cs="Arial"/>
                <w:b/>
                <w:sz w:val="20"/>
                <w:szCs w:val="20"/>
                <w:lang w:val="en-US"/>
              </w:rPr>
            </w:pPr>
            <w:r>
              <w:rPr>
                <w:rFonts w:ascii="Arial Narrow" w:hAnsi="Arial Narrow" w:cs="Arial"/>
                <w:b/>
                <w:sz w:val="20"/>
                <w:szCs w:val="20"/>
                <w:lang w:val="en-US"/>
              </w:rPr>
              <w:t>639,923,296</w:t>
            </w:r>
          </w:p>
        </w:tc>
      </w:tr>
    </w:tbl>
    <w:p w14:paraId="491AC89E" w14:textId="77777777" w:rsidR="00B4130A" w:rsidRDefault="00B4130A" w:rsidP="00B4130A">
      <w:pPr>
        <w:spacing w:after="0" w:line="240" w:lineRule="auto"/>
        <w:jc w:val="both"/>
        <w:rPr>
          <w:rFonts w:ascii="Arial Narrow" w:hAnsi="Arial Narrow" w:cs="Arial"/>
          <w:b/>
          <w:sz w:val="20"/>
          <w:szCs w:val="20"/>
        </w:rPr>
      </w:pPr>
    </w:p>
    <w:p w14:paraId="238F2426" w14:textId="77777777" w:rsidR="00B4130A" w:rsidRDefault="009841CB" w:rsidP="00B4130A">
      <w:pPr>
        <w:pStyle w:val="ListParagraph"/>
        <w:numPr>
          <w:ilvl w:val="0"/>
          <w:numId w:val="1"/>
        </w:numPr>
        <w:ind w:left="567" w:hanging="567"/>
        <w:jc w:val="both"/>
        <w:rPr>
          <w:rFonts w:ascii="Arial" w:hAnsi="Arial" w:cs="Arial"/>
          <w:b/>
          <w:sz w:val="20"/>
          <w:szCs w:val="20"/>
        </w:rPr>
      </w:pPr>
      <w:r>
        <w:rPr>
          <w:rFonts w:ascii="Arial" w:hAnsi="Arial" w:cs="Arial"/>
          <w:b/>
          <w:sz w:val="20"/>
          <w:szCs w:val="20"/>
        </w:rPr>
        <w:t>Comparison of the CY 2022</w:t>
      </w:r>
      <w:r w:rsidR="00B4130A">
        <w:rPr>
          <w:rFonts w:ascii="Arial" w:hAnsi="Arial" w:cs="Arial"/>
          <w:b/>
          <w:sz w:val="20"/>
          <w:szCs w:val="20"/>
        </w:rPr>
        <w:t xml:space="preserve"> Budget and Actual Amounts on Comparable Basis</w:t>
      </w:r>
    </w:p>
    <w:p w14:paraId="456A9BF9" w14:textId="77777777" w:rsidR="00B4130A" w:rsidRDefault="00B4130A" w:rsidP="00B4130A">
      <w:pPr>
        <w:spacing w:after="0" w:line="240" w:lineRule="auto"/>
        <w:jc w:val="both"/>
        <w:rPr>
          <w:rFonts w:ascii="Arial Narrow" w:hAnsi="Arial Narrow" w:cs="Arial"/>
          <w:sz w:val="20"/>
          <w:szCs w:val="20"/>
        </w:rPr>
      </w:pPr>
    </w:p>
    <w:tbl>
      <w:tblPr>
        <w:tblW w:w="8651" w:type="dxa"/>
        <w:jc w:val="right"/>
        <w:tblLook w:val="04A0" w:firstRow="1" w:lastRow="0" w:firstColumn="1" w:lastColumn="0" w:noHBand="0" w:noVBand="1"/>
      </w:tblPr>
      <w:tblGrid>
        <w:gridCol w:w="256"/>
        <w:gridCol w:w="3411"/>
        <w:gridCol w:w="1699"/>
        <w:gridCol w:w="1585"/>
        <w:gridCol w:w="1700"/>
      </w:tblGrid>
      <w:tr w:rsidR="00B4130A" w14:paraId="72B2E7CA" w14:textId="77777777" w:rsidTr="009841CB">
        <w:trPr>
          <w:trHeight w:val="350"/>
          <w:jc w:val="right"/>
        </w:trPr>
        <w:tc>
          <w:tcPr>
            <w:tcW w:w="257" w:type="dxa"/>
            <w:tcBorders>
              <w:top w:val="single" w:sz="4" w:space="0" w:color="auto"/>
              <w:left w:val="nil"/>
              <w:bottom w:val="single" w:sz="4" w:space="0" w:color="auto"/>
              <w:right w:val="nil"/>
            </w:tcBorders>
            <w:vAlign w:val="bottom"/>
            <w:hideMark/>
          </w:tcPr>
          <w:p w14:paraId="25EE74F4" w14:textId="77777777" w:rsidR="00B4130A" w:rsidRDefault="00B4130A">
            <w:pPr>
              <w:rPr>
                <w:rFonts w:ascii="Arial Narrow" w:hAnsi="Arial Narrow" w:cs="Arial"/>
                <w:sz w:val="20"/>
                <w:szCs w:val="20"/>
              </w:rPr>
            </w:pPr>
          </w:p>
        </w:tc>
        <w:tc>
          <w:tcPr>
            <w:tcW w:w="3433" w:type="dxa"/>
            <w:tcBorders>
              <w:top w:val="single" w:sz="4" w:space="0" w:color="auto"/>
              <w:left w:val="nil"/>
              <w:bottom w:val="single" w:sz="4" w:space="0" w:color="auto"/>
              <w:right w:val="nil"/>
            </w:tcBorders>
            <w:vAlign w:val="bottom"/>
          </w:tcPr>
          <w:p w14:paraId="480971C8" w14:textId="77777777" w:rsidR="00B4130A" w:rsidRDefault="00B4130A">
            <w:pPr>
              <w:spacing w:after="0" w:line="240" w:lineRule="auto"/>
              <w:ind w:left="-108" w:right="-108"/>
              <w:jc w:val="right"/>
              <w:rPr>
                <w:rFonts w:ascii="Arial Narrow" w:eastAsia="Times New Roman" w:hAnsi="Arial Narrow" w:cs="Arial"/>
                <w:b/>
                <w:bCs/>
                <w:sz w:val="20"/>
                <w:szCs w:val="20"/>
                <w:lang w:val="en-US"/>
              </w:rPr>
            </w:pPr>
          </w:p>
        </w:tc>
        <w:tc>
          <w:tcPr>
            <w:tcW w:w="1701" w:type="dxa"/>
            <w:tcBorders>
              <w:top w:val="single" w:sz="4" w:space="0" w:color="auto"/>
              <w:left w:val="nil"/>
              <w:bottom w:val="single" w:sz="4" w:space="0" w:color="auto"/>
              <w:right w:val="nil"/>
            </w:tcBorders>
            <w:vAlign w:val="bottom"/>
            <w:hideMark/>
          </w:tcPr>
          <w:p w14:paraId="2D5EE7E4" w14:textId="77777777" w:rsidR="00B4130A" w:rsidRDefault="00B4130A">
            <w:pPr>
              <w:spacing w:after="0" w:line="240" w:lineRule="auto"/>
              <w:ind w:left="-110" w:right="-100"/>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Approved Corporate Operating Budget</w:t>
            </w:r>
          </w:p>
        </w:tc>
        <w:tc>
          <w:tcPr>
            <w:tcW w:w="1559" w:type="dxa"/>
            <w:tcBorders>
              <w:top w:val="single" w:sz="4" w:space="0" w:color="auto"/>
              <w:left w:val="nil"/>
              <w:bottom w:val="single" w:sz="4" w:space="0" w:color="auto"/>
              <w:right w:val="nil"/>
            </w:tcBorders>
            <w:vAlign w:val="bottom"/>
            <w:hideMark/>
          </w:tcPr>
          <w:p w14:paraId="2CF2CE53" w14:textId="77777777" w:rsidR="00B4130A" w:rsidRDefault="00B4130A">
            <w:pPr>
              <w:spacing w:after="0" w:line="240" w:lineRule="auto"/>
              <w:ind w:right="-100"/>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Actual Amounts on Comparable Basis</w:t>
            </w:r>
          </w:p>
        </w:tc>
        <w:tc>
          <w:tcPr>
            <w:tcW w:w="1701" w:type="dxa"/>
            <w:tcBorders>
              <w:top w:val="single" w:sz="4" w:space="0" w:color="auto"/>
              <w:left w:val="nil"/>
              <w:bottom w:val="single" w:sz="4" w:space="0" w:color="auto"/>
              <w:right w:val="nil"/>
            </w:tcBorders>
            <w:vAlign w:val="bottom"/>
            <w:hideMark/>
          </w:tcPr>
          <w:p w14:paraId="79E21E57" w14:textId="77777777" w:rsidR="00B4130A" w:rsidRDefault="00B4130A">
            <w:pPr>
              <w:spacing w:after="0" w:line="240" w:lineRule="auto"/>
              <w:ind w:right="-108"/>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Variance</w:t>
            </w:r>
          </w:p>
        </w:tc>
      </w:tr>
      <w:tr w:rsidR="00E33F1E" w14:paraId="436054DB" w14:textId="77777777" w:rsidTr="009841CB">
        <w:trPr>
          <w:trHeight w:val="50"/>
          <w:jc w:val="right"/>
        </w:trPr>
        <w:tc>
          <w:tcPr>
            <w:tcW w:w="3690" w:type="dxa"/>
            <w:gridSpan w:val="2"/>
            <w:tcBorders>
              <w:top w:val="single" w:sz="4" w:space="0" w:color="auto"/>
              <w:left w:val="nil"/>
              <w:bottom w:val="nil"/>
              <w:right w:val="nil"/>
            </w:tcBorders>
            <w:vAlign w:val="center"/>
            <w:hideMark/>
          </w:tcPr>
          <w:p w14:paraId="547317B5" w14:textId="77777777" w:rsidR="00E33F1E" w:rsidRDefault="00E33F1E" w:rsidP="00E33F1E">
            <w:pPr>
              <w:suppressAutoHyphens/>
              <w:snapToGrid w:val="0"/>
              <w:spacing w:after="0" w:line="240" w:lineRule="auto"/>
              <w:ind w:hanging="107"/>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Operating Fund</w:t>
            </w:r>
          </w:p>
        </w:tc>
        <w:tc>
          <w:tcPr>
            <w:tcW w:w="1701" w:type="dxa"/>
            <w:tcBorders>
              <w:top w:val="single" w:sz="4" w:space="0" w:color="auto"/>
              <w:left w:val="nil"/>
              <w:bottom w:val="nil"/>
              <w:right w:val="nil"/>
            </w:tcBorders>
            <w:vAlign w:val="bottom"/>
          </w:tcPr>
          <w:p w14:paraId="5E61672C" w14:textId="77777777" w:rsidR="00E33F1E" w:rsidRPr="000702DC" w:rsidRDefault="00E33F1E" w:rsidP="00E33F1E">
            <w:pPr>
              <w:spacing w:after="0"/>
              <w:ind w:left="-110" w:right="-100"/>
              <w:jc w:val="right"/>
              <w:rPr>
                <w:rFonts w:ascii="Arial Narrow" w:hAnsi="Arial Narrow"/>
                <w:sz w:val="18"/>
                <w:szCs w:val="18"/>
              </w:rPr>
            </w:pPr>
          </w:p>
        </w:tc>
        <w:tc>
          <w:tcPr>
            <w:tcW w:w="1559" w:type="dxa"/>
            <w:tcBorders>
              <w:top w:val="single" w:sz="4" w:space="0" w:color="auto"/>
              <w:left w:val="nil"/>
              <w:bottom w:val="nil"/>
              <w:right w:val="nil"/>
            </w:tcBorders>
            <w:vAlign w:val="bottom"/>
          </w:tcPr>
          <w:p w14:paraId="59BFFCD1" w14:textId="77777777" w:rsidR="00E33F1E" w:rsidRPr="000702DC" w:rsidRDefault="00E33F1E" w:rsidP="00E33F1E">
            <w:pPr>
              <w:spacing w:after="0"/>
              <w:ind w:right="-100"/>
              <w:jc w:val="right"/>
              <w:rPr>
                <w:rFonts w:ascii="Arial Narrow" w:hAnsi="Arial Narrow" w:cs="Arial"/>
                <w:sz w:val="18"/>
                <w:szCs w:val="18"/>
              </w:rPr>
            </w:pPr>
          </w:p>
        </w:tc>
        <w:tc>
          <w:tcPr>
            <w:tcW w:w="1701" w:type="dxa"/>
            <w:tcBorders>
              <w:top w:val="single" w:sz="4" w:space="0" w:color="auto"/>
              <w:left w:val="nil"/>
              <w:bottom w:val="nil"/>
              <w:right w:val="nil"/>
            </w:tcBorders>
            <w:vAlign w:val="center"/>
          </w:tcPr>
          <w:p w14:paraId="3552C51A" w14:textId="77777777" w:rsidR="00E33F1E" w:rsidRDefault="00E33F1E" w:rsidP="00E33F1E">
            <w:pPr>
              <w:spacing w:after="0" w:line="240" w:lineRule="auto"/>
              <w:ind w:right="-108"/>
              <w:jc w:val="right"/>
              <w:rPr>
                <w:rFonts w:ascii="Arial Narrow" w:eastAsia="Times New Roman" w:hAnsi="Arial Narrow" w:cs="Arial"/>
                <w:sz w:val="20"/>
                <w:szCs w:val="20"/>
                <w:lang w:val="en-US"/>
              </w:rPr>
            </w:pPr>
          </w:p>
        </w:tc>
      </w:tr>
      <w:tr w:rsidR="00E33F1E" w14:paraId="259B62B0" w14:textId="77777777" w:rsidTr="00961C48">
        <w:trPr>
          <w:trHeight w:val="243"/>
          <w:jc w:val="right"/>
        </w:trPr>
        <w:tc>
          <w:tcPr>
            <w:tcW w:w="257" w:type="dxa"/>
            <w:vAlign w:val="center"/>
          </w:tcPr>
          <w:p w14:paraId="61A42A4D" w14:textId="77777777" w:rsidR="00E33F1E" w:rsidRDefault="00E33F1E" w:rsidP="00E33F1E">
            <w:pPr>
              <w:suppressAutoHyphens/>
              <w:snapToGrid w:val="0"/>
              <w:spacing w:after="0" w:line="240" w:lineRule="auto"/>
              <w:ind w:hanging="107"/>
              <w:jc w:val="right"/>
              <w:rPr>
                <w:rFonts w:ascii="Arial Narrow" w:eastAsia="Times New Roman" w:hAnsi="Arial Narrow" w:cs="Arial"/>
                <w:bCs/>
                <w:sz w:val="20"/>
                <w:szCs w:val="20"/>
                <w:lang w:val="en-US" w:eastAsia="ar-SA"/>
              </w:rPr>
            </w:pPr>
          </w:p>
        </w:tc>
        <w:tc>
          <w:tcPr>
            <w:tcW w:w="3433" w:type="dxa"/>
            <w:vAlign w:val="center"/>
            <w:hideMark/>
          </w:tcPr>
          <w:p w14:paraId="71F7B685" w14:textId="77777777" w:rsidR="00E33F1E"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Personnel services</w:t>
            </w:r>
          </w:p>
        </w:tc>
        <w:tc>
          <w:tcPr>
            <w:tcW w:w="1701" w:type="dxa"/>
            <w:vAlign w:val="bottom"/>
          </w:tcPr>
          <w:p w14:paraId="4721F165" w14:textId="77777777" w:rsidR="00E33F1E" w:rsidRPr="00A16C39" w:rsidRDefault="00A16C39" w:rsidP="00E33F1E">
            <w:pPr>
              <w:spacing w:after="0"/>
              <w:ind w:left="-110" w:right="-100"/>
              <w:jc w:val="right"/>
              <w:rPr>
                <w:rFonts w:ascii="Arial Narrow" w:hAnsi="Arial Narrow"/>
                <w:sz w:val="20"/>
                <w:szCs w:val="20"/>
              </w:rPr>
            </w:pPr>
            <w:r w:rsidRPr="00A16C39">
              <w:rPr>
                <w:rFonts w:ascii="Arial Narrow" w:hAnsi="Arial Narrow"/>
                <w:sz w:val="20"/>
                <w:szCs w:val="20"/>
              </w:rPr>
              <w:t>1,822,166,523.22</w:t>
            </w:r>
          </w:p>
        </w:tc>
        <w:tc>
          <w:tcPr>
            <w:tcW w:w="1559" w:type="dxa"/>
            <w:vAlign w:val="bottom"/>
          </w:tcPr>
          <w:p w14:paraId="7C368AE0" w14:textId="77777777" w:rsidR="00E33F1E" w:rsidRPr="00A16C39" w:rsidRDefault="00A16C39" w:rsidP="00E33F1E">
            <w:pPr>
              <w:spacing w:after="0"/>
              <w:ind w:right="-100"/>
              <w:jc w:val="right"/>
              <w:rPr>
                <w:rFonts w:ascii="Arial Narrow" w:hAnsi="Arial Narrow" w:cs="Arial"/>
                <w:sz w:val="20"/>
                <w:szCs w:val="20"/>
              </w:rPr>
            </w:pPr>
            <w:r>
              <w:rPr>
                <w:rFonts w:ascii="Arial Narrow" w:hAnsi="Arial Narrow" w:cs="Arial"/>
                <w:sz w:val="20"/>
                <w:szCs w:val="20"/>
              </w:rPr>
              <w:t>1,083,025,679.01</w:t>
            </w:r>
          </w:p>
        </w:tc>
        <w:tc>
          <w:tcPr>
            <w:tcW w:w="1701" w:type="dxa"/>
            <w:vAlign w:val="bottom"/>
          </w:tcPr>
          <w:p w14:paraId="537AB5C0" w14:textId="77777777" w:rsidR="00E33F1E" w:rsidRPr="00A16C39" w:rsidRDefault="00A16C39" w:rsidP="00E33F1E">
            <w:pPr>
              <w:spacing w:after="0"/>
              <w:ind w:right="-90"/>
              <w:jc w:val="right"/>
              <w:rPr>
                <w:rFonts w:ascii="Arial Narrow" w:hAnsi="Arial Narrow"/>
                <w:sz w:val="20"/>
                <w:szCs w:val="20"/>
              </w:rPr>
            </w:pPr>
            <w:r>
              <w:rPr>
                <w:rFonts w:ascii="Arial Narrow" w:hAnsi="Arial Narrow"/>
                <w:sz w:val="20"/>
                <w:szCs w:val="20"/>
              </w:rPr>
              <w:t>739,140,844.21</w:t>
            </w:r>
          </w:p>
        </w:tc>
      </w:tr>
      <w:tr w:rsidR="00E33F1E" w14:paraId="0F324253" w14:textId="77777777" w:rsidTr="00961C48">
        <w:trPr>
          <w:trHeight w:val="80"/>
          <w:jc w:val="right"/>
        </w:trPr>
        <w:tc>
          <w:tcPr>
            <w:tcW w:w="257" w:type="dxa"/>
            <w:vAlign w:val="bottom"/>
          </w:tcPr>
          <w:p w14:paraId="5525CEE8" w14:textId="77777777" w:rsidR="00E33F1E" w:rsidRDefault="00E33F1E" w:rsidP="00E33F1E">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433" w:type="dxa"/>
            <w:vAlign w:val="bottom"/>
            <w:hideMark/>
          </w:tcPr>
          <w:p w14:paraId="267F735F" w14:textId="77777777" w:rsidR="00E33F1E"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Maintenance and other operating expenses</w:t>
            </w:r>
          </w:p>
        </w:tc>
        <w:tc>
          <w:tcPr>
            <w:tcW w:w="1701" w:type="dxa"/>
            <w:vAlign w:val="bottom"/>
          </w:tcPr>
          <w:p w14:paraId="0279DC3B" w14:textId="77777777" w:rsidR="00E33F1E" w:rsidRPr="00A16C39" w:rsidRDefault="00A16C39" w:rsidP="00E33F1E">
            <w:pPr>
              <w:spacing w:after="0"/>
              <w:ind w:left="-110" w:right="-100"/>
              <w:jc w:val="right"/>
              <w:rPr>
                <w:rFonts w:ascii="Arial Narrow" w:hAnsi="Arial Narrow"/>
                <w:sz w:val="20"/>
                <w:szCs w:val="20"/>
              </w:rPr>
            </w:pPr>
            <w:r>
              <w:rPr>
                <w:rFonts w:ascii="Arial Narrow" w:hAnsi="Arial Narrow"/>
                <w:sz w:val="20"/>
                <w:szCs w:val="20"/>
              </w:rPr>
              <w:t>4,183,610,669.69</w:t>
            </w:r>
          </w:p>
        </w:tc>
        <w:tc>
          <w:tcPr>
            <w:tcW w:w="1559" w:type="dxa"/>
            <w:vAlign w:val="bottom"/>
          </w:tcPr>
          <w:p w14:paraId="1802794F" w14:textId="77777777" w:rsidR="00E33F1E" w:rsidRPr="00A16C39" w:rsidRDefault="00A16C39" w:rsidP="00E33F1E">
            <w:pPr>
              <w:spacing w:after="0"/>
              <w:ind w:right="-100"/>
              <w:jc w:val="right"/>
              <w:rPr>
                <w:rFonts w:ascii="Arial Narrow" w:hAnsi="Arial Narrow" w:cs="Arial"/>
                <w:sz w:val="20"/>
                <w:szCs w:val="20"/>
              </w:rPr>
            </w:pPr>
            <w:r>
              <w:rPr>
                <w:rFonts w:ascii="Arial Narrow" w:hAnsi="Arial Narrow" w:cs="Arial"/>
                <w:sz w:val="20"/>
                <w:szCs w:val="20"/>
              </w:rPr>
              <w:t>2,591,908,779.12</w:t>
            </w:r>
          </w:p>
        </w:tc>
        <w:tc>
          <w:tcPr>
            <w:tcW w:w="1701" w:type="dxa"/>
            <w:vAlign w:val="bottom"/>
          </w:tcPr>
          <w:p w14:paraId="31F4962E" w14:textId="77777777" w:rsidR="00E33F1E" w:rsidRPr="00A16C39" w:rsidRDefault="00A16C39" w:rsidP="00E33F1E">
            <w:pPr>
              <w:spacing w:after="0"/>
              <w:ind w:right="-90"/>
              <w:jc w:val="right"/>
              <w:rPr>
                <w:rFonts w:ascii="Arial Narrow" w:hAnsi="Arial Narrow"/>
                <w:sz w:val="20"/>
                <w:szCs w:val="20"/>
              </w:rPr>
            </w:pPr>
            <w:r>
              <w:rPr>
                <w:rFonts w:ascii="Arial Narrow" w:hAnsi="Arial Narrow"/>
                <w:sz w:val="20"/>
                <w:szCs w:val="20"/>
              </w:rPr>
              <w:t>1,591,701,890.57</w:t>
            </w:r>
          </w:p>
        </w:tc>
      </w:tr>
      <w:tr w:rsidR="00E33F1E" w14:paraId="3DB2B7CD" w14:textId="77777777" w:rsidTr="009841CB">
        <w:trPr>
          <w:trHeight w:val="207"/>
          <w:jc w:val="right"/>
        </w:trPr>
        <w:tc>
          <w:tcPr>
            <w:tcW w:w="257" w:type="dxa"/>
            <w:vAlign w:val="center"/>
          </w:tcPr>
          <w:p w14:paraId="162714F0" w14:textId="77777777" w:rsidR="00E33F1E" w:rsidRDefault="00E33F1E" w:rsidP="00E33F1E">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433" w:type="dxa"/>
            <w:vAlign w:val="center"/>
            <w:hideMark/>
          </w:tcPr>
          <w:p w14:paraId="745B0A29" w14:textId="77777777" w:rsidR="00E33F1E"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Capital outlays</w:t>
            </w:r>
          </w:p>
        </w:tc>
        <w:tc>
          <w:tcPr>
            <w:tcW w:w="1701" w:type="dxa"/>
            <w:vAlign w:val="bottom"/>
          </w:tcPr>
          <w:p w14:paraId="63A1B1F7" w14:textId="77777777" w:rsidR="00E33F1E" w:rsidRPr="00A16C39" w:rsidRDefault="00A16C39" w:rsidP="00E33F1E">
            <w:pPr>
              <w:spacing w:after="0"/>
              <w:ind w:left="-110" w:right="-100"/>
              <w:jc w:val="right"/>
              <w:rPr>
                <w:rFonts w:ascii="Arial Narrow" w:hAnsi="Arial Narrow"/>
                <w:sz w:val="20"/>
                <w:szCs w:val="20"/>
              </w:rPr>
            </w:pPr>
            <w:r>
              <w:rPr>
                <w:rFonts w:ascii="Arial Narrow" w:hAnsi="Arial Narrow"/>
                <w:sz w:val="20"/>
                <w:szCs w:val="20"/>
              </w:rPr>
              <w:t>3,536,088,059.00</w:t>
            </w:r>
          </w:p>
        </w:tc>
        <w:tc>
          <w:tcPr>
            <w:tcW w:w="1559" w:type="dxa"/>
            <w:vAlign w:val="bottom"/>
          </w:tcPr>
          <w:p w14:paraId="4D35404C" w14:textId="77777777" w:rsidR="00E33F1E" w:rsidRPr="00A16C39" w:rsidRDefault="00A16C39" w:rsidP="00E33F1E">
            <w:pPr>
              <w:spacing w:after="0"/>
              <w:ind w:right="-100"/>
              <w:jc w:val="right"/>
              <w:rPr>
                <w:rFonts w:ascii="Arial Narrow" w:hAnsi="Arial Narrow" w:cs="Arial"/>
                <w:sz w:val="20"/>
                <w:szCs w:val="20"/>
              </w:rPr>
            </w:pPr>
            <w:r>
              <w:rPr>
                <w:rFonts w:ascii="Arial Narrow" w:hAnsi="Arial Narrow" w:cs="Arial"/>
                <w:sz w:val="20"/>
                <w:szCs w:val="20"/>
              </w:rPr>
              <w:t>384,155,486.18</w:t>
            </w:r>
          </w:p>
        </w:tc>
        <w:tc>
          <w:tcPr>
            <w:tcW w:w="1701" w:type="dxa"/>
            <w:vAlign w:val="bottom"/>
          </w:tcPr>
          <w:p w14:paraId="0EF08F36" w14:textId="77777777" w:rsidR="00E33F1E" w:rsidRPr="00A16C39" w:rsidRDefault="00A16C39" w:rsidP="00E33F1E">
            <w:pPr>
              <w:spacing w:after="0" w:line="240" w:lineRule="auto"/>
              <w:ind w:right="-90"/>
              <w:jc w:val="right"/>
              <w:rPr>
                <w:rFonts w:ascii="Arial Narrow" w:hAnsi="Arial Narrow" w:cs="Arial"/>
                <w:sz w:val="20"/>
                <w:szCs w:val="20"/>
                <w:lang w:val="en-US"/>
              </w:rPr>
            </w:pPr>
            <w:r>
              <w:rPr>
                <w:rFonts w:ascii="Arial Narrow" w:hAnsi="Arial Narrow" w:cs="Arial"/>
                <w:sz w:val="20"/>
                <w:szCs w:val="20"/>
                <w:lang w:val="en-US"/>
              </w:rPr>
              <w:t>3,151,932,572.82</w:t>
            </w:r>
          </w:p>
        </w:tc>
      </w:tr>
      <w:tr w:rsidR="00B4130A" w14:paraId="4A319D15" w14:textId="77777777" w:rsidTr="009841CB">
        <w:trPr>
          <w:trHeight w:val="180"/>
          <w:jc w:val="right"/>
        </w:trPr>
        <w:tc>
          <w:tcPr>
            <w:tcW w:w="3690" w:type="dxa"/>
            <w:gridSpan w:val="2"/>
            <w:vAlign w:val="center"/>
            <w:hideMark/>
          </w:tcPr>
          <w:p w14:paraId="0C41FB42" w14:textId="77777777" w:rsidR="00B4130A" w:rsidRDefault="00B4130A">
            <w:pPr>
              <w:suppressAutoHyphens/>
              <w:snapToGrid w:val="0"/>
              <w:spacing w:after="0" w:line="240" w:lineRule="auto"/>
              <w:ind w:hanging="107"/>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Charity Fund</w:t>
            </w:r>
          </w:p>
        </w:tc>
        <w:tc>
          <w:tcPr>
            <w:tcW w:w="1701" w:type="dxa"/>
            <w:vAlign w:val="bottom"/>
          </w:tcPr>
          <w:p w14:paraId="5A50C6E7" w14:textId="77777777" w:rsidR="00B4130A" w:rsidRPr="00A16C39" w:rsidRDefault="00B4130A">
            <w:pPr>
              <w:suppressAutoHyphens/>
              <w:snapToGrid w:val="0"/>
              <w:spacing w:after="0" w:line="240" w:lineRule="auto"/>
              <w:ind w:left="-110" w:right="-100"/>
              <w:jc w:val="right"/>
              <w:rPr>
                <w:rFonts w:ascii="Arial Narrow" w:eastAsia="Times New Roman" w:hAnsi="Arial Narrow" w:cs="Arial"/>
                <w:bCs/>
                <w:sz w:val="20"/>
                <w:szCs w:val="20"/>
                <w:lang w:val="en-US" w:eastAsia="ar-SA"/>
              </w:rPr>
            </w:pPr>
          </w:p>
        </w:tc>
        <w:tc>
          <w:tcPr>
            <w:tcW w:w="1559" w:type="dxa"/>
            <w:vAlign w:val="bottom"/>
          </w:tcPr>
          <w:p w14:paraId="67EB6109" w14:textId="77777777" w:rsidR="00B4130A" w:rsidRPr="00A16C39" w:rsidRDefault="00B4130A">
            <w:pPr>
              <w:suppressAutoHyphens/>
              <w:snapToGrid w:val="0"/>
              <w:spacing w:after="0" w:line="240" w:lineRule="auto"/>
              <w:ind w:right="-100"/>
              <w:jc w:val="right"/>
              <w:rPr>
                <w:rFonts w:ascii="Arial Narrow" w:eastAsia="Times New Roman" w:hAnsi="Arial Narrow" w:cs="Arial"/>
                <w:bCs/>
                <w:sz w:val="20"/>
                <w:szCs w:val="20"/>
                <w:lang w:val="en-US" w:eastAsia="ar-SA"/>
              </w:rPr>
            </w:pPr>
          </w:p>
        </w:tc>
        <w:tc>
          <w:tcPr>
            <w:tcW w:w="1701" w:type="dxa"/>
            <w:vAlign w:val="bottom"/>
          </w:tcPr>
          <w:p w14:paraId="4BF67D4C" w14:textId="77777777" w:rsidR="00B4130A" w:rsidRPr="00A16C39" w:rsidRDefault="00B4130A">
            <w:pPr>
              <w:spacing w:after="0" w:line="240" w:lineRule="auto"/>
              <w:ind w:right="-90"/>
              <w:jc w:val="right"/>
              <w:rPr>
                <w:rFonts w:ascii="Arial Narrow" w:hAnsi="Arial Narrow" w:cs="Arial"/>
                <w:sz w:val="20"/>
                <w:szCs w:val="20"/>
                <w:lang w:val="en-US"/>
              </w:rPr>
            </w:pPr>
          </w:p>
        </w:tc>
      </w:tr>
      <w:tr w:rsidR="00E33F1E" w14:paraId="4686E62B" w14:textId="77777777" w:rsidTr="009841CB">
        <w:trPr>
          <w:trHeight w:val="153"/>
          <w:jc w:val="right"/>
        </w:trPr>
        <w:tc>
          <w:tcPr>
            <w:tcW w:w="257" w:type="dxa"/>
            <w:vAlign w:val="center"/>
          </w:tcPr>
          <w:p w14:paraId="6C640B9D" w14:textId="77777777" w:rsidR="00E33F1E" w:rsidRDefault="00E33F1E" w:rsidP="00E33F1E">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433" w:type="dxa"/>
            <w:vAlign w:val="center"/>
            <w:hideMark/>
          </w:tcPr>
          <w:p w14:paraId="551E6FD5" w14:textId="77777777" w:rsidR="00E33F1E"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Maintenance and other operating expenses</w:t>
            </w:r>
          </w:p>
        </w:tc>
        <w:tc>
          <w:tcPr>
            <w:tcW w:w="1701" w:type="dxa"/>
            <w:vAlign w:val="bottom"/>
          </w:tcPr>
          <w:p w14:paraId="0BB52A81" w14:textId="77777777" w:rsidR="00E33F1E" w:rsidRPr="00A16C39" w:rsidRDefault="00A16C39" w:rsidP="00E33F1E">
            <w:pPr>
              <w:spacing w:after="0"/>
              <w:ind w:left="-110" w:right="-100"/>
              <w:jc w:val="right"/>
              <w:rPr>
                <w:rFonts w:ascii="Arial Narrow" w:hAnsi="Arial Narrow"/>
                <w:sz w:val="20"/>
                <w:szCs w:val="20"/>
              </w:rPr>
            </w:pPr>
            <w:r>
              <w:rPr>
                <w:rFonts w:ascii="Arial Narrow" w:hAnsi="Arial Narrow"/>
                <w:sz w:val="20"/>
                <w:szCs w:val="20"/>
              </w:rPr>
              <w:t>15,553,400,000.00</w:t>
            </w:r>
          </w:p>
        </w:tc>
        <w:tc>
          <w:tcPr>
            <w:tcW w:w="1559" w:type="dxa"/>
            <w:vAlign w:val="bottom"/>
          </w:tcPr>
          <w:p w14:paraId="402C4E76" w14:textId="77777777" w:rsidR="00E33F1E" w:rsidRPr="00A16C39" w:rsidRDefault="00A16C39" w:rsidP="00E33F1E">
            <w:pPr>
              <w:spacing w:after="0"/>
              <w:ind w:right="-100"/>
              <w:jc w:val="right"/>
              <w:rPr>
                <w:rFonts w:ascii="Arial Narrow" w:hAnsi="Arial Narrow"/>
                <w:sz w:val="20"/>
                <w:szCs w:val="20"/>
              </w:rPr>
            </w:pPr>
            <w:r>
              <w:rPr>
                <w:rFonts w:ascii="Arial Narrow" w:hAnsi="Arial Narrow"/>
                <w:sz w:val="20"/>
                <w:szCs w:val="20"/>
              </w:rPr>
              <w:t>18,407,149,437.83</w:t>
            </w:r>
          </w:p>
        </w:tc>
        <w:tc>
          <w:tcPr>
            <w:tcW w:w="1701" w:type="dxa"/>
            <w:vAlign w:val="bottom"/>
          </w:tcPr>
          <w:p w14:paraId="7ECAD629" w14:textId="77777777" w:rsidR="00E33F1E" w:rsidRPr="00A16C39" w:rsidRDefault="00A16C39" w:rsidP="00E33F1E">
            <w:pPr>
              <w:spacing w:after="0" w:line="240" w:lineRule="auto"/>
              <w:ind w:right="-90"/>
              <w:jc w:val="right"/>
              <w:rPr>
                <w:rFonts w:ascii="Arial Narrow" w:hAnsi="Arial Narrow"/>
                <w:sz w:val="20"/>
                <w:szCs w:val="20"/>
                <w:lang w:val="en-US"/>
              </w:rPr>
            </w:pPr>
            <w:r>
              <w:rPr>
                <w:rFonts w:ascii="Arial Narrow" w:hAnsi="Arial Narrow"/>
                <w:sz w:val="20"/>
                <w:szCs w:val="20"/>
                <w:lang w:val="en-US"/>
              </w:rPr>
              <w:t>(2,853,749,437.83)</w:t>
            </w:r>
          </w:p>
        </w:tc>
      </w:tr>
      <w:tr w:rsidR="00B4130A" w14:paraId="03614651" w14:textId="77777777" w:rsidTr="009841CB">
        <w:trPr>
          <w:trHeight w:val="162"/>
          <w:jc w:val="right"/>
        </w:trPr>
        <w:tc>
          <w:tcPr>
            <w:tcW w:w="3690" w:type="dxa"/>
            <w:gridSpan w:val="2"/>
            <w:vAlign w:val="center"/>
            <w:hideMark/>
          </w:tcPr>
          <w:p w14:paraId="4038E274" w14:textId="77777777" w:rsidR="00B4130A" w:rsidRDefault="00B4130A">
            <w:pPr>
              <w:suppressAutoHyphens/>
              <w:snapToGrid w:val="0"/>
              <w:spacing w:after="0" w:line="240" w:lineRule="auto"/>
              <w:ind w:hanging="107"/>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Prize Fund</w:t>
            </w:r>
          </w:p>
        </w:tc>
        <w:tc>
          <w:tcPr>
            <w:tcW w:w="1701" w:type="dxa"/>
            <w:vAlign w:val="bottom"/>
          </w:tcPr>
          <w:p w14:paraId="61544605" w14:textId="77777777" w:rsidR="00B4130A" w:rsidRPr="00A16C39" w:rsidRDefault="00B4130A">
            <w:pPr>
              <w:suppressAutoHyphens/>
              <w:snapToGrid w:val="0"/>
              <w:spacing w:after="0" w:line="240" w:lineRule="auto"/>
              <w:ind w:left="-110" w:right="-100"/>
              <w:jc w:val="right"/>
              <w:rPr>
                <w:rFonts w:ascii="Arial Narrow" w:eastAsia="Times New Roman" w:hAnsi="Arial Narrow" w:cs="Arial"/>
                <w:bCs/>
                <w:sz w:val="20"/>
                <w:szCs w:val="20"/>
                <w:lang w:val="en-US" w:eastAsia="ar-SA"/>
              </w:rPr>
            </w:pPr>
          </w:p>
        </w:tc>
        <w:tc>
          <w:tcPr>
            <w:tcW w:w="1559" w:type="dxa"/>
            <w:vAlign w:val="bottom"/>
          </w:tcPr>
          <w:p w14:paraId="790F0B66" w14:textId="77777777" w:rsidR="00B4130A" w:rsidRPr="00A16C39" w:rsidRDefault="00B4130A">
            <w:pPr>
              <w:suppressAutoHyphens/>
              <w:snapToGrid w:val="0"/>
              <w:spacing w:after="0" w:line="240" w:lineRule="auto"/>
              <w:ind w:right="-100"/>
              <w:jc w:val="right"/>
              <w:rPr>
                <w:rFonts w:ascii="Arial Narrow" w:eastAsia="Times New Roman" w:hAnsi="Arial Narrow" w:cs="Arial"/>
                <w:bCs/>
                <w:sz w:val="20"/>
                <w:szCs w:val="20"/>
                <w:lang w:val="en-US" w:eastAsia="ar-SA"/>
              </w:rPr>
            </w:pPr>
          </w:p>
        </w:tc>
        <w:tc>
          <w:tcPr>
            <w:tcW w:w="1701" w:type="dxa"/>
            <w:vAlign w:val="bottom"/>
          </w:tcPr>
          <w:p w14:paraId="5135433C" w14:textId="77777777" w:rsidR="00B4130A" w:rsidRPr="00A16C39" w:rsidRDefault="00B4130A">
            <w:pPr>
              <w:spacing w:after="0" w:line="240" w:lineRule="auto"/>
              <w:ind w:right="-90"/>
              <w:jc w:val="right"/>
              <w:rPr>
                <w:rFonts w:ascii="Arial Narrow" w:hAnsi="Arial Narrow" w:cs="Arial"/>
                <w:sz w:val="20"/>
                <w:szCs w:val="20"/>
                <w:lang w:val="en-US"/>
              </w:rPr>
            </w:pPr>
          </w:p>
        </w:tc>
      </w:tr>
      <w:tr w:rsidR="00E33F1E" w14:paraId="028416D9" w14:textId="77777777" w:rsidTr="009841CB">
        <w:trPr>
          <w:trHeight w:val="99"/>
          <w:jc w:val="right"/>
        </w:trPr>
        <w:tc>
          <w:tcPr>
            <w:tcW w:w="257" w:type="dxa"/>
            <w:vAlign w:val="center"/>
          </w:tcPr>
          <w:p w14:paraId="45D34C05" w14:textId="77777777" w:rsidR="00E33F1E" w:rsidRDefault="00E33F1E" w:rsidP="00E33F1E">
            <w:pPr>
              <w:suppressAutoHyphens/>
              <w:snapToGrid w:val="0"/>
              <w:spacing w:after="0" w:line="240" w:lineRule="auto"/>
              <w:rPr>
                <w:rFonts w:ascii="Arial Narrow" w:eastAsia="Times New Roman" w:hAnsi="Arial Narrow" w:cs="Arial"/>
                <w:bCs/>
                <w:sz w:val="20"/>
                <w:szCs w:val="20"/>
                <w:lang w:val="en-US" w:eastAsia="ar-SA"/>
              </w:rPr>
            </w:pPr>
          </w:p>
        </w:tc>
        <w:tc>
          <w:tcPr>
            <w:tcW w:w="3433" w:type="dxa"/>
            <w:vAlign w:val="center"/>
            <w:hideMark/>
          </w:tcPr>
          <w:p w14:paraId="5618374E" w14:textId="77777777" w:rsidR="00E33F1E"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Maintenance and other operating expenses</w:t>
            </w:r>
          </w:p>
        </w:tc>
        <w:tc>
          <w:tcPr>
            <w:tcW w:w="1701" w:type="dxa"/>
            <w:vAlign w:val="bottom"/>
          </w:tcPr>
          <w:p w14:paraId="7A0E7CDB" w14:textId="77777777" w:rsidR="00E33F1E" w:rsidRPr="00A16C39" w:rsidRDefault="00A16C39" w:rsidP="00E33F1E">
            <w:pPr>
              <w:spacing w:after="0"/>
              <w:ind w:left="-110" w:right="-100"/>
              <w:jc w:val="right"/>
              <w:rPr>
                <w:rFonts w:ascii="Arial Narrow" w:hAnsi="Arial Narrow"/>
                <w:sz w:val="20"/>
                <w:szCs w:val="20"/>
              </w:rPr>
            </w:pPr>
            <w:r>
              <w:rPr>
                <w:rFonts w:ascii="Arial Narrow" w:hAnsi="Arial Narrow"/>
                <w:sz w:val="20"/>
                <w:szCs w:val="20"/>
              </w:rPr>
              <w:t>24,847,900,000.00</w:t>
            </w:r>
          </w:p>
        </w:tc>
        <w:tc>
          <w:tcPr>
            <w:tcW w:w="1559" w:type="dxa"/>
            <w:vAlign w:val="bottom"/>
          </w:tcPr>
          <w:p w14:paraId="18D8CF61" w14:textId="77777777" w:rsidR="00E33F1E" w:rsidRPr="00A16C39" w:rsidRDefault="00A16C39" w:rsidP="00E33F1E">
            <w:pPr>
              <w:spacing w:after="0"/>
              <w:ind w:right="-100"/>
              <w:jc w:val="right"/>
              <w:rPr>
                <w:rFonts w:ascii="Arial Narrow" w:hAnsi="Arial Narrow"/>
                <w:sz w:val="20"/>
                <w:szCs w:val="20"/>
              </w:rPr>
            </w:pPr>
            <w:r>
              <w:rPr>
                <w:rFonts w:ascii="Arial Narrow" w:hAnsi="Arial Narrow"/>
                <w:sz w:val="20"/>
                <w:szCs w:val="20"/>
              </w:rPr>
              <w:t>29,249,980,320.78</w:t>
            </w:r>
          </w:p>
        </w:tc>
        <w:tc>
          <w:tcPr>
            <w:tcW w:w="1701" w:type="dxa"/>
            <w:vAlign w:val="bottom"/>
          </w:tcPr>
          <w:p w14:paraId="50986C6B" w14:textId="77777777" w:rsidR="00E33F1E" w:rsidRPr="00A16C39" w:rsidRDefault="00A16C39" w:rsidP="00E33F1E">
            <w:pPr>
              <w:spacing w:after="0" w:line="240" w:lineRule="auto"/>
              <w:ind w:right="-90"/>
              <w:jc w:val="right"/>
              <w:rPr>
                <w:rFonts w:ascii="Arial Narrow" w:hAnsi="Arial Narrow"/>
                <w:sz w:val="20"/>
                <w:szCs w:val="20"/>
                <w:lang w:val="en-US"/>
              </w:rPr>
            </w:pPr>
            <w:r>
              <w:rPr>
                <w:rFonts w:ascii="Arial Narrow" w:hAnsi="Arial Narrow"/>
                <w:sz w:val="20"/>
                <w:szCs w:val="20"/>
                <w:lang w:val="en-US"/>
              </w:rPr>
              <w:t>(4,402,080,320.78)</w:t>
            </w:r>
          </w:p>
        </w:tc>
      </w:tr>
      <w:tr w:rsidR="00BC1814" w14:paraId="393D460D" w14:textId="77777777" w:rsidTr="009841CB">
        <w:trPr>
          <w:trHeight w:val="99"/>
          <w:jc w:val="right"/>
        </w:trPr>
        <w:tc>
          <w:tcPr>
            <w:tcW w:w="257" w:type="dxa"/>
            <w:tcBorders>
              <w:top w:val="nil"/>
              <w:left w:val="nil"/>
              <w:bottom w:val="single" w:sz="4" w:space="0" w:color="auto"/>
              <w:right w:val="nil"/>
            </w:tcBorders>
            <w:vAlign w:val="center"/>
          </w:tcPr>
          <w:p w14:paraId="206D2B5F" w14:textId="77777777" w:rsidR="00BC1814" w:rsidRDefault="00BC1814" w:rsidP="00BC1814">
            <w:pPr>
              <w:suppressAutoHyphens/>
              <w:snapToGrid w:val="0"/>
              <w:spacing w:after="0" w:line="240" w:lineRule="auto"/>
              <w:rPr>
                <w:rFonts w:ascii="Arial Narrow" w:eastAsia="Times New Roman" w:hAnsi="Arial Narrow" w:cs="Arial"/>
                <w:bCs/>
                <w:sz w:val="20"/>
                <w:szCs w:val="20"/>
                <w:lang w:val="en-US" w:eastAsia="ar-SA"/>
              </w:rPr>
            </w:pPr>
          </w:p>
        </w:tc>
        <w:tc>
          <w:tcPr>
            <w:tcW w:w="3433" w:type="dxa"/>
            <w:tcBorders>
              <w:top w:val="nil"/>
              <w:left w:val="nil"/>
              <w:bottom w:val="single" w:sz="4" w:space="0" w:color="auto"/>
              <w:right w:val="nil"/>
            </w:tcBorders>
            <w:vAlign w:val="center"/>
            <w:hideMark/>
          </w:tcPr>
          <w:p w14:paraId="17259942" w14:textId="77777777" w:rsidR="00BC1814" w:rsidRDefault="00BC1814" w:rsidP="00BC1814">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Others (dividend)</w:t>
            </w:r>
          </w:p>
        </w:tc>
        <w:tc>
          <w:tcPr>
            <w:tcW w:w="1701" w:type="dxa"/>
            <w:tcBorders>
              <w:top w:val="nil"/>
              <w:left w:val="nil"/>
              <w:bottom w:val="single" w:sz="4" w:space="0" w:color="auto"/>
              <w:right w:val="nil"/>
            </w:tcBorders>
            <w:vAlign w:val="bottom"/>
          </w:tcPr>
          <w:p w14:paraId="187536DF" w14:textId="77777777" w:rsidR="00BC1814" w:rsidRPr="00A16C39" w:rsidRDefault="00A16C39" w:rsidP="00BC1814">
            <w:pPr>
              <w:spacing w:after="0"/>
              <w:ind w:left="-110" w:right="-100"/>
              <w:jc w:val="right"/>
              <w:rPr>
                <w:rFonts w:ascii="Arial Narrow" w:hAnsi="Arial Narrow"/>
                <w:sz w:val="20"/>
                <w:szCs w:val="20"/>
              </w:rPr>
            </w:pPr>
            <w:r>
              <w:rPr>
                <w:rFonts w:ascii="Arial Narrow" w:hAnsi="Arial Narrow"/>
                <w:sz w:val="20"/>
                <w:szCs w:val="20"/>
              </w:rPr>
              <w:t>846,461,403.55</w:t>
            </w:r>
          </w:p>
        </w:tc>
        <w:tc>
          <w:tcPr>
            <w:tcW w:w="1559" w:type="dxa"/>
            <w:tcBorders>
              <w:top w:val="nil"/>
              <w:left w:val="nil"/>
              <w:bottom w:val="single" w:sz="4" w:space="0" w:color="auto"/>
              <w:right w:val="nil"/>
            </w:tcBorders>
            <w:vAlign w:val="bottom"/>
          </w:tcPr>
          <w:p w14:paraId="63C6BDD6" w14:textId="77777777" w:rsidR="00BC1814" w:rsidRPr="00A16C39" w:rsidRDefault="00A16C39" w:rsidP="00BC1814">
            <w:pPr>
              <w:spacing w:after="0"/>
              <w:ind w:right="-100"/>
              <w:jc w:val="right"/>
              <w:rPr>
                <w:rFonts w:ascii="Arial Narrow" w:hAnsi="Arial Narrow"/>
                <w:sz w:val="20"/>
                <w:szCs w:val="20"/>
              </w:rPr>
            </w:pPr>
            <w:r>
              <w:rPr>
                <w:rFonts w:ascii="Arial Narrow" w:hAnsi="Arial Narrow"/>
                <w:sz w:val="20"/>
                <w:szCs w:val="20"/>
              </w:rPr>
              <w:t>-</w:t>
            </w:r>
          </w:p>
        </w:tc>
        <w:tc>
          <w:tcPr>
            <w:tcW w:w="1701" w:type="dxa"/>
            <w:tcBorders>
              <w:top w:val="nil"/>
              <w:left w:val="nil"/>
              <w:bottom w:val="single" w:sz="4" w:space="0" w:color="auto"/>
              <w:right w:val="nil"/>
            </w:tcBorders>
            <w:vAlign w:val="bottom"/>
          </w:tcPr>
          <w:p w14:paraId="5A6D96C1" w14:textId="77777777" w:rsidR="00BC1814" w:rsidRPr="00A16C39" w:rsidRDefault="00A16C39" w:rsidP="00BC1814">
            <w:pPr>
              <w:spacing w:after="0" w:line="240" w:lineRule="auto"/>
              <w:ind w:right="-90"/>
              <w:jc w:val="right"/>
              <w:rPr>
                <w:rFonts w:ascii="Arial Narrow" w:hAnsi="Arial Narrow"/>
                <w:sz w:val="20"/>
                <w:szCs w:val="20"/>
                <w:lang w:val="en-US"/>
              </w:rPr>
            </w:pPr>
            <w:r>
              <w:rPr>
                <w:rFonts w:ascii="Arial Narrow" w:hAnsi="Arial Narrow"/>
                <w:sz w:val="20"/>
                <w:szCs w:val="20"/>
                <w:lang w:val="en-US"/>
              </w:rPr>
              <w:t>846,461,403.55</w:t>
            </w:r>
          </w:p>
        </w:tc>
      </w:tr>
      <w:tr w:rsidR="00BC1814" w14:paraId="5648C92A" w14:textId="77777777" w:rsidTr="009841CB">
        <w:trPr>
          <w:trHeight w:val="71"/>
          <w:jc w:val="right"/>
        </w:trPr>
        <w:tc>
          <w:tcPr>
            <w:tcW w:w="3690" w:type="dxa"/>
            <w:gridSpan w:val="2"/>
            <w:tcBorders>
              <w:top w:val="single" w:sz="4" w:space="0" w:color="auto"/>
              <w:left w:val="nil"/>
              <w:bottom w:val="double" w:sz="4" w:space="0" w:color="auto"/>
              <w:right w:val="nil"/>
            </w:tcBorders>
            <w:vAlign w:val="center"/>
            <w:hideMark/>
          </w:tcPr>
          <w:p w14:paraId="7EB535B0" w14:textId="77777777" w:rsidR="00BC1814" w:rsidRDefault="00BC1814" w:rsidP="00BC1814">
            <w:pPr>
              <w:spacing w:after="0" w:line="240" w:lineRule="auto"/>
              <w:ind w:hanging="107"/>
              <w:rPr>
                <w:rFonts w:ascii="Arial Narrow" w:eastAsia="Times New Roman" w:hAnsi="Arial Narrow" w:cs="Arial"/>
                <w:b/>
                <w:sz w:val="20"/>
                <w:szCs w:val="20"/>
                <w:lang w:val="en-US"/>
              </w:rPr>
            </w:pPr>
            <w:r>
              <w:rPr>
                <w:rFonts w:ascii="Arial Narrow" w:eastAsia="Times New Roman" w:hAnsi="Arial Narrow" w:cs="Arial"/>
                <w:b/>
                <w:sz w:val="20"/>
                <w:szCs w:val="20"/>
                <w:lang w:val="en-US"/>
              </w:rPr>
              <w:t>Total</w:t>
            </w:r>
          </w:p>
        </w:tc>
        <w:tc>
          <w:tcPr>
            <w:tcW w:w="1701" w:type="dxa"/>
            <w:tcBorders>
              <w:top w:val="single" w:sz="4" w:space="0" w:color="auto"/>
              <w:left w:val="nil"/>
              <w:bottom w:val="double" w:sz="4" w:space="0" w:color="auto"/>
              <w:right w:val="nil"/>
            </w:tcBorders>
            <w:vAlign w:val="center"/>
          </w:tcPr>
          <w:p w14:paraId="08D9A065" w14:textId="77777777" w:rsidR="00BC1814" w:rsidRPr="00A16C39" w:rsidRDefault="00A16C39" w:rsidP="00A600B8">
            <w:pPr>
              <w:spacing w:after="0"/>
              <w:ind w:left="-110" w:right="-100"/>
              <w:jc w:val="right"/>
              <w:rPr>
                <w:rFonts w:ascii="Arial Narrow" w:hAnsi="Arial Narrow"/>
                <w:b/>
                <w:bCs/>
                <w:sz w:val="20"/>
                <w:szCs w:val="20"/>
              </w:rPr>
            </w:pPr>
            <w:r w:rsidRPr="00A16C39">
              <w:rPr>
                <w:rFonts w:ascii="Arial Narrow" w:hAnsi="Arial Narrow"/>
                <w:b/>
                <w:bCs/>
                <w:sz w:val="20"/>
                <w:szCs w:val="20"/>
              </w:rPr>
              <w:t>50,789,626,655.4</w:t>
            </w:r>
            <w:r w:rsidR="00A600B8">
              <w:rPr>
                <w:rFonts w:ascii="Arial Narrow" w:hAnsi="Arial Narrow"/>
                <w:b/>
                <w:bCs/>
                <w:sz w:val="20"/>
                <w:szCs w:val="20"/>
              </w:rPr>
              <w:t>6</w:t>
            </w:r>
          </w:p>
        </w:tc>
        <w:tc>
          <w:tcPr>
            <w:tcW w:w="1559" w:type="dxa"/>
            <w:tcBorders>
              <w:top w:val="single" w:sz="4" w:space="0" w:color="auto"/>
              <w:left w:val="nil"/>
              <w:bottom w:val="double" w:sz="4" w:space="0" w:color="auto"/>
              <w:right w:val="nil"/>
            </w:tcBorders>
            <w:vAlign w:val="center"/>
          </w:tcPr>
          <w:p w14:paraId="1FEAF51F" w14:textId="77777777" w:rsidR="00BC1814" w:rsidRPr="00A16C39" w:rsidRDefault="00A16C39" w:rsidP="00BC1814">
            <w:pPr>
              <w:spacing w:after="0"/>
              <w:ind w:right="-100"/>
              <w:jc w:val="right"/>
              <w:rPr>
                <w:rFonts w:ascii="Arial Narrow" w:hAnsi="Arial Narrow"/>
                <w:b/>
                <w:bCs/>
                <w:sz w:val="20"/>
                <w:szCs w:val="20"/>
              </w:rPr>
            </w:pPr>
            <w:r w:rsidRPr="00A16C39">
              <w:rPr>
                <w:rFonts w:ascii="Arial Narrow" w:hAnsi="Arial Narrow"/>
                <w:b/>
                <w:bCs/>
                <w:sz w:val="20"/>
                <w:szCs w:val="20"/>
              </w:rPr>
              <w:t>51,716,219,702.92</w:t>
            </w:r>
          </w:p>
        </w:tc>
        <w:tc>
          <w:tcPr>
            <w:tcW w:w="1701" w:type="dxa"/>
            <w:tcBorders>
              <w:top w:val="single" w:sz="4" w:space="0" w:color="auto"/>
              <w:left w:val="nil"/>
              <w:bottom w:val="double" w:sz="4" w:space="0" w:color="auto"/>
              <w:right w:val="nil"/>
            </w:tcBorders>
            <w:vAlign w:val="center"/>
          </w:tcPr>
          <w:p w14:paraId="13CA631B" w14:textId="77777777" w:rsidR="00BC1814" w:rsidRPr="00A16C39" w:rsidRDefault="00A600B8" w:rsidP="00BC1814">
            <w:pPr>
              <w:spacing w:after="0" w:line="240" w:lineRule="auto"/>
              <w:ind w:right="-90"/>
              <w:jc w:val="right"/>
              <w:rPr>
                <w:rFonts w:ascii="Arial Narrow" w:hAnsi="Arial Narrow"/>
                <w:b/>
                <w:bCs/>
                <w:sz w:val="20"/>
                <w:szCs w:val="20"/>
                <w:lang w:val="en-US"/>
              </w:rPr>
            </w:pPr>
            <w:r>
              <w:rPr>
                <w:rFonts w:ascii="Arial Narrow" w:hAnsi="Arial Narrow"/>
                <w:b/>
                <w:bCs/>
                <w:sz w:val="20"/>
                <w:szCs w:val="20"/>
                <w:lang w:val="en-US"/>
              </w:rPr>
              <w:t>(926,593,047.46</w:t>
            </w:r>
            <w:r w:rsidR="00A16C39">
              <w:rPr>
                <w:rFonts w:ascii="Arial Narrow" w:hAnsi="Arial Narrow"/>
                <w:b/>
                <w:bCs/>
                <w:sz w:val="20"/>
                <w:szCs w:val="20"/>
                <w:lang w:val="en-US"/>
              </w:rPr>
              <w:t>)</w:t>
            </w:r>
          </w:p>
        </w:tc>
      </w:tr>
    </w:tbl>
    <w:p w14:paraId="415A3F9A" w14:textId="77777777" w:rsidR="00B4130A" w:rsidRDefault="00B4130A" w:rsidP="00B4130A">
      <w:pPr>
        <w:spacing w:after="0" w:line="240" w:lineRule="auto"/>
        <w:jc w:val="both"/>
        <w:rPr>
          <w:rFonts w:ascii="Arial" w:hAnsi="Arial" w:cs="Arial"/>
          <w:b/>
          <w:i/>
          <w:sz w:val="18"/>
          <w:szCs w:val="18"/>
        </w:rPr>
      </w:pPr>
      <w:r>
        <w:rPr>
          <w:rFonts w:ascii="Arial Narrow" w:hAnsi="Arial Narrow"/>
          <w:i/>
          <w:sz w:val="18"/>
          <w:szCs w:val="18"/>
        </w:rPr>
        <w:t>Note: Charity Fund MOOE includes Financial Expense and Financial Assistance/Subsidy/Contribution</w:t>
      </w:r>
    </w:p>
    <w:p w14:paraId="3E46CDA3" w14:textId="77777777" w:rsidR="00B4130A" w:rsidRDefault="00B4130A" w:rsidP="00B4130A">
      <w:pPr>
        <w:spacing w:after="0" w:line="240" w:lineRule="auto"/>
        <w:jc w:val="both"/>
        <w:rPr>
          <w:rFonts w:ascii="Arial" w:hAnsi="Arial" w:cs="Arial"/>
          <w:b/>
          <w:sz w:val="18"/>
          <w:szCs w:val="18"/>
        </w:rPr>
      </w:pPr>
    </w:p>
    <w:p w14:paraId="3D4BC620" w14:textId="77777777" w:rsidR="00B4130A" w:rsidRDefault="00B4130A" w:rsidP="00B4130A">
      <w:pPr>
        <w:spacing w:after="0" w:line="240" w:lineRule="auto"/>
        <w:jc w:val="both"/>
        <w:rPr>
          <w:rFonts w:ascii="Arial" w:hAnsi="Arial" w:cs="Arial"/>
          <w:b/>
          <w:sz w:val="18"/>
          <w:szCs w:val="18"/>
        </w:rPr>
      </w:pPr>
    </w:p>
    <w:p w14:paraId="1EFC8049" w14:textId="77777777" w:rsidR="00B4130A" w:rsidRDefault="00B4130A" w:rsidP="00B4130A">
      <w:pPr>
        <w:spacing w:after="0" w:line="240" w:lineRule="auto"/>
        <w:jc w:val="both"/>
        <w:rPr>
          <w:rFonts w:ascii="Arial" w:hAnsi="Arial" w:cs="Arial"/>
          <w:b/>
        </w:rPr>
      </w:pPr>
      <w:r>
        <w:rPr>
          <w:rFonts w:ascii="Arial" w:hAnsi="Arial" w:cs="Arial"/>
          <w:b/>
        </w:rPr>
        <w:t>SCOPE OF AUDIT</w:t>
      </w:r>
    </w:p>
    <w:p w14:paraId="57D22F02" w14:textId="77777777" w:rsidR="00B4130A" w:rsidRDefault="00B4130A" w:rsidP="00B4130A">
      <w:pPr>
        <w:spacing w:after="0" w:line="240" w:lineRule="auto"/>
        <w:jc w:val="both"/>
        <w:rPr>
          <w:rFonts w:ascii="Arial" w:eastAsia="Times New Roman" w:hAnsi="Arial" w:cs="Arial"/>
          <w:lang w:val="en-US"/>
        </w:rPr>
      </w:pPr>
    </w:p>
    <w:p w14:paraId="35624C4C" w14:textId="77777777" w:rsidR="00B4130A" w:rsidRDefault="00B4130A" w:rsidP="00B4130A">
      <w:pPr>
        <w:spacing w:after="0" w:line="240" w:lineRule="auto"/>
        <w:jc w:val="both"/>
        <w:rPr>
          <w:rFonts w:ascii="Arial" w:eastAsia="Times New Roman" w:hAnsi="Arial" w:cs="Arial"/>
          <w:lang w:val="en-US"/>
        </w:rPr>
      </w:pPr>
      <w:r>
        <w:rPr>
          <w:rFonts w:ascii="Arial" w:eastAsia="Times New Roman" w:hAnsi="Arial" w:cs="Arial"/>
          <w:lang w:val="en-US"/>
        </w:rPr>
        <w:t xml:space="preserve">The audit covered the examination, on a test basis, of the accounts, transactions and operations of the PCSO to enable us to express an opinion on the financial statements for </w:t>
      </w:r>
      <w:r>
        <w:rPr>
          <w:rFonts w:ascii="Arial" w:eastAsia="Times New Roman" w:hAnsi="Arial" w:cs="Arial"/>
          <w:lang w:val="en-US"/>
        </w:rPr>
        <w:lastRenderedPageBreak/>
        <w:t>t</w:t>
      </w:r>
      <w:r w:rsidR="00173873">
        <w:rPr>
          <w:rFonts w:ascii="Arial" w:eastAsia="Times New Roman" w:hAnsi="Arial" w:cs="Arial"/>
          <w:lang w:val="en-US"/>
        </w:rPr>
        <w:t>he years ended December 31, 2022</w:t>
      </w:r>
      <w:r>
        <w:rPr>
          <w:rFonts w:ascii="Arial" w:eastAsia="Times New Roman" w:hAnsi="Arial" w:cs="Arial"/>
          <w:lang w:val="en-US"/>
        </w:rPr>
        <w:t xml:space="preserve"> and 20</w:t>
      </w:r>
      <w:r w:rsidR="00173873">
        <w:rPr>
          <w:rFonts w:ascii="Arial" w:eastAsia="Times New Roman" w:hAnsi="Arial" w:cs="Arial"/>
          <w:lang w:val="en-US"/>
        </w:rPr>
        <w:t>21</w:t>
      </w:r>
      <w:r>
        <w:rPr>
          <w:rFonts w:ascii="Arial" w:eastAsia="Times New Roman" w:hAnsi="Arial" w:cs="Arial"/>
          <w:lang w:val="en-US"/>
        </w:rPr>
        <w:t xml:space="preserve"> in accordance with International Standards of Supreme Audit Institutions (ISSAIs).  It was</w:t>
      </w:r>
      <w:r w:rsidR="00B05021">
        <w:rPr>
          <w:rFonts w:ascii="Arial" w:eastAsia="Times New Roman" w:hAnsi="Arial" w:cs="Arial"/>
          <w:lang w:val="en-US"/>
        </w:rPr>
        <w:t xml:space="preserve"> also conducted to determine</w:t>
      </w:r>
      <w:r>
        <w:rPr>
          <w:rFonts w:ascii="Arial" w:eastAsia="Times New Roman" w:hAnsi="Arial" w:cs="Arial"/>
          <w:lang w:val="en-US"/>
        </w:rPr>
        <w:t xml:space="preserve"> </w:t>
      </w:r>
      <w:r w:rsidR="00615761">
        <w:rPr>
          <w:rFonts w:ascii="Arial" w:eastAsia="Times New Roman" w:hAnsi="Arial" w:cs="Arial"/>
          <w:lang w:val="en-US"/>
        </w:rPr>
        <w:t xml:space="preserve">the </w:t>
      </w:r>
      <w:r>
        <w:rPr>
          <w:rFonts w:ascii="Arial" w:eastAsia="Times New Roman" w:hAnsi="Arial" w:cs="Arial"/>
          <w:lang w:val="en-US"/>
        </w:rPr>
        <w:t xml:space="preserve">PCSO’s compliance with pertinent laws, rules and regulations and adherence to prescribed policies and procedures. </w:t>
      </w:r>
    </w:p>
    <w:p w14:paraId="1715E105" w14:textId="77777777" w:rsidR="00B4130A" w:rsidRDefault="00B4130A" w:rsidP="00B4130A">
      <w:pPr>
        <w:spacing w:after="0" w:line="240" w:lineRule="auto"/>
        <w:ind w:left="360"/>
        <w:jc w:val="both"/>
        <w:rPr>
          <w:rFonts w:ascii="Arial" w:hAnsi="Arial" w:cs="Arial"/>
          <w:sz w:val="18"/>
          <w:szCs w:val="18"/>
        </w:rPr>
      </w:pPr>
    </w:p>
    <w:p w14:paraId="3D663563" w14:textId="77777777" w:rsidR="00B4130A" w:rsidRDefault="00B4130A" w:rsidP="00B4130A">
      <w:pPr>
        <w:spacing w:after="0" w:line="240" w:lineRule="auto"/>
        <w:ind w:left="360"/>
        <w:jc w:val="both"/>
        <w:rPr>
          <w:rFonts w:ascii="Arial" w:hAnsi="Arial" w:cs="Arial"/>
          <w:sz w:val="18"/>
          <w:szCs w:val="18"/>
        </w:rPr>
      </w:pPr>
    </w:p>
    <w:p w14:paraId="151AF620" w14:textId="77777777" w:rsidR="00B4130A" w:rsidRDefault="00B4130A" w:rsidP="00B4130A">
      <w:pPr>
        <w:spacing w:after="0" w:line="240" w:lineRule="auto"/>
        <w:jc w:val="both"/>
        <w:rPr>
          <w:rFonts w:ascii="Arial" w:hAnsi="Arial" w:cs="Arial"/>
          <w:b/>
        </w:rPr>
      </w:pPr>
      <w:r>
        <w:rPr>
          <w:rFonts w:ascii="Arial" w:hAnsi="Arial" w:cs="Arial"/>
          <w:b/>
        </w:rPr>
        <w:t>INDEPENDENT AUDITOR’S REPORT ON THE FINANCIAL STATEMENTS</w:t>
      </w:r>
    </w:p>
    <w:p w14:paraId="4660F753" w14:textId="77777777" w:rsidR="00B4130A" w:rsidRDefault="00B4130A" w:rsidP="00B4130A">
      <w:pPr>
        <w:spacing w:after="0" w:line="240" w:lineRule="auto"/>
        <w:jc w:val="both"/>
        <w:rPr>
          <w:rFonts w:ascii="Arial" w:hAnsi="Arial" w:cs="Arial"/>
          <w:sz w:val="18"/>
          <w:szCs w:val="18"/>
        </w:rPr>
      </w:pPr>
    </w:p>
    <w:p w14:paraId="10FD12DB" w14:textId="77777777" w:rsidR="00B4130A" w:rsidRDefault="00B4130A" w:rsidP="00B4130A">
      <w:pPr>
        <w:spacing w:after="0" w:line="240" w:lineRule="auto"/>
        <w:jc w:val="both"/>
        <w:rPr>
          <w:rFonts w:ascii="Arial" w:eastAsia="Arial" w:hAnsi="Arial" w:cs="Arial"/>
        </w:rPr>
      </w:pPr>
      <w:r>
        <w:rPr>
          <w:rFonts w:ascii="Arial" w:eastAsia="Arial" w:hAnsi="Arial" w:cs="Arial"/>
        </w:rPr>
        <w:t>We rendered a qualified opinion on the fairness of presentation of the financial statements of the PCSO in view of the following:</w:t>
      </w:r>
    </w:p>
    <w:p w14:paraId="57C91E05" w14:textId="77777777" w:rsidR="0076410A" w:rsidRDefault="0076410A" w:rsidP="0076410A">
      <w:pPr>
        <w:spacing w:after="0" w:line="240" w:lineRule="auto"/>
        <w:jc w:val="both"/>
        <w:rPr>
          <w:rFonts w:ascii="Arial" w:hAnsi="Arial" w:cs="Arial"/>
          <w:bCs/>
        </w:rPr>
      </w:pPr>
    </w:p>
    <w:p w14:paraId="59918413" w14:textId="77777777" w:rsidR="004C6F61" w:rsidRPr="004C6F61" w:rsidRDefault="004C6F61" w:rsidP="004C6F61">
      <w:pPr>
        <w:numPr>
          <w:ilvl w:val="0"/>
          <w:numId w:val="2"/>
        </w:numPr>
        <w:spacing w:after="0" w:line="240" w:lineRule="auto"/>
        <w:ind w:left="709" w:hanging="709"/>
        <w:jc w:val="both"/>
        <w:rPr>
          <w:rFonts w:ascii="Arial" w:hAnsi="Arial" w:cs="Arial"/>
          <w:bCs/>
          <w:lang w:val="en-US"/>
        </w:rPr>
      </w:pPr>
      <w:r w:rsidRPr="004C6F61">
        <w:rPr>
          <w:rFonts w:ascii="Arial" w:hAnsi="Arial" w:cs="Arial"/>
          <w:bCs/>
          <w:lang w:val="en-US"/>
        </w:rPr>
        <w:t xml:space="preserve">The Printing and Publication Expenses – Small Town Lottery (STL) account was understated by P568.561 million, consequently overstating the Retained Earnings account by the same amount due to the non-recognition of printing expense for STL tickets in the Calendar Year (CY) 2022, which is not accordance with Paragraph 4.50 of the Conceptual Framework for General Purpose Financial Reporting </w:t>
      </w:r>
      <w:r w:rsidRPr="004C6F61">
        <w:rPr>
          <w:rFonts w:ascii="Arial" w:hAnsi="Arial" w:cs="Arial"/>
          <w:bCs/>
          <w:lang w:val="en-US" w:eastAsia="x-none"/>
        </w:rPr>
        <w:t>(CFGPFR)</w:t>
      </w:r>
      <w:r w:rsidRPr="004C6F61">
        <w:rPr>
          <w:rFonts w:ascii="Arial" w:hAnsi="Arial" w:cs="Arial"/>
          <w:bCs/>
          <w:lang w:val="en-US"/>
        </w:rPr>
        <w:t xml:space="preserve"> and Section 6 of Republic Act No. 1169, as amended.</w:t>
      </w:r>
    </w:p>
    <w:p w14:paraId="3E84BA13" w14:textId="77777777" w:rsidR="004C6F61" w:rsidRPr="004C6F61" w:rsidRDefault="004C6F61" w:rsidP="004C6F61">
      <w:pPr>
        <w:spacing w:after="0" w:line="240" w:lineRule="auto"/>
        <w:ind w:left="709"/>
        <w:jc w:val="both"/>
        <w:rPr>
          <w:rFonts w:ascii="Arial" w:hAnsi="Arial" w:cs="Arial"/>
          <w:bCs/>
          <w:lang w:val="en-US"/>
        </w:rPr>
      </w:pPr>
    </w:p>
    <w:p w14:paraId="04E33755" w14:textId="77777777" w:rsidR="004C6F61" w:rsidRPr="004C6F61" w:rsidRDefault="004C6F61" w:rsidP="004C6F61">
      <w:pPr>
        <w:numPr>
          <w:ilvl w:val="0"/>
          <w:numId w:val="2"/>
        </w:numPr>
        <w:spacing w:after="0" w:line="240" w:lineRule="auto"/>
        <w:ind w:left="705" w:hanging="691"/>
        <w:jc w:val="both"/>
        <w:rPr>
          <w:rFonts w:ascii="Arial" w:hAnsi="Arial" w:cs="Arial"/>
          <w:bCs/>
          <w:iCs/>
          <w:color w:val="000000" w:themeColor="text1"/>
          <w:lang w:val="en-US"/>
        </w:rPr>
      </w:pPr>
      <w:r w:rsidRPr="004C6F61">
        <w:rPr>
          <w:rFonts w:ascii="Arial" w:hAnsi="Arial" w:cs="Arial"/>
          <w:bCs/>
          <w:iCs/>
          <w:color w:val="000000" w:themeColor="text1"/>
          <w:lang w:val="en-US"/>
        </w:rPr>
        <w:t>The correctness of the balance of P120.853 million of the Play/Bet Slips and Thermal Rolls Supplies Inventories account as of December 31, 2022, could not be ascertained contrary to Paragraph 15 of the Philippine Accounting Standard (PAS) 1 due to the: (a) unaccounted discrepancy of P45.418 million between the balances per General Ledger (GL) and the Report on the Physical Count of Inventories (RPCI) for Luzon; (b) absence of RPCI for the supplies inventories of Visayas and Mindanao and Printing Materials amounting to P29.362 million and P0.426 million, respectively; and (c) non-maintenance of Supplies Ledger Cards, Stock Cards, and other required inventory records and reports.</w:t>
      </w:r>
    </w:p>
    <w:p w14:paraId="1BCE75D9" w14:textId="77777777" w:rsidR="004C6F61" w:rsidRPr="004C6F61" w:rsidRDefault="004C6F61" w:rsidP="004C6F61">
      <w:pPr>
        <w:spacing w:after="0" w:line="240" w:lineRule="auto"/>
        <w:ind w:left="705"/>
        <w:jc w:val="both"/>
        <w:rPr>
          <w:rFonts w:ascii="Arial" w:hAnsi="Arial" w:cs="Arial"/>
          <w:bCs/>
          <w:iCs/>
          <w:color w:val="000000" w:themeColor="text1"/>
          <w:lang w:val="en-US"/>
        </w:rPr>
      </w:pPr>
    </w:p>
    <w:p w14:paraId="5A8BC1A0" w14:textId="77777777" w:rsidR="004C6F61" w:rsidRPr="004C6F61" w:rsidRDefault="004C6F61" w:rsidP="004C6F61">
      <w:pPr>
        <w:numPr>
          <w:ilvl w:val="0"/>
          <w:numId w:val="2"/>
        </w:numPr>
        <w:spacing w:after="0" w:line="240" w:lineRule="auto"/>
        <w:ind w:left="705" w:hanging="691"/>
        <w:jc w:val="both"/>
        <w:rPr>
          <w:rFonts w:ascii="Arial" w:hAnsi="Arial" w:cs="Arial"/>
          <w:bCs/>
          <w:iCs/>
          <w:color w:val="000000" w:themeColor="text1"/>
          <w:lang w:val="en-US"/>
        </w:rPr>
      </w:pPr>
      <w:r w:rsidRPr="004C6F61">
        <w:rPr>
          <w:rFonts w:ascii="Arial" w:hAnsi="Arial" w:cs="Arial"/>
          <w:lang w:val="en-US"/>
        </w:rPr>
        <w:t>The amount billed to and collected by PCSO from the Instant Sweepstakes Authorized Corporation pertaining to the PCSO guaranteed share, Documentary Stamp Tax (DST) and Prize Fund Tax (PFT) for the remaining six months of its operation was short by P76.661 million due to the understatement of the guaranteed sales by P276.804 million, contrary to Section 58 of the Implementing Rules and Regulations (IRR) for Instant Sweepstakes Program.</w:t>
      </w:r>
    </w:p>
    <w:p w14:paraId="3E8FEF04" w14:textId="77777777" w:rsidR="004C6F61" w:rsidRPr="004C6F61" w:rsidRDefault="004C6F61" w:rsidP="004C6F61">
      <w:pPr>
        <w:spacing w:after="0" w:line="240" w:lineRule="auto"/>
        <w:ind w:left="705"/>
        <w:jc w:val="both"/>
        <w:rPr>
          <w:rFonts w:ascii="Arial" w:hAnsi="Arial" w:cs="Arial"/>
          <w:bCs/>
          <w:iCs/>
          <w:color w:val="000000" w:themeColor="text1"/>
          <w:lang w:val="en-US"/>
        </w:rPr>
      </w:pPr>
    </w:p>
    <w:p w14:paraId="32D148C4" w14:textId="77777777" w:rsidR="004C6F61" w:rsidRPr="004C6F61" w:rsidRDefault="004C6F61" w:rsidP="004C6F61">
      <w:pPr>
        <w:numPr>
          <w:ilvl w:val="0"/>
          <w:numId w:val="2"/>
        </w:numPr>
        <w:spacing w:after="0" w:line="240" w:lineRule="auto"/>
        <w:ind w:left="709" w:hanging="697"/>
        <w:jc w:val="both"/>
        <w:rPr>
          <w:rFonts w:ascii="Arial" w:hAnsi="Arial" w:cs="Arial"/>
          <w:bCs/>
          <w:iCs/>
          <w:lang w:val="en-US"/>
        </w:rPr>
      </w:pPr>
      <w:r w:rsidRPr="004C6F61">
        <w:rPr>
          <w:rFonts w:ascii="Arial" w:hAnsi="Arial" w:cs="Arial"/>
          <w:lang w:val="en-US"/>
        </w:rPr>
        <w:t>The faithful representation in the financial statements of the balance of the Cash and Cash Equivalents account in the amount of P20.343 billion as of December 31, 2022, cannot be ascertained due to the : (a) Discrepancy of P50.304 million between the balances per books and the confirmed bank balances of the Main, Operating Fund (OF), Charity Fund (CF) and PF accounts and (b) Closed bank accounts with outstanding   balances in the books totaling P3.612 million (negative) and P0.483 million, contrary to Paragraph 15 of the PAS 1 and QC12 of the Conceptual Framework for Financial Reporting.</w:t>
      </w:r>
    </w:p>
    <w:p w14:paraId="21E158A7" w14:textId="77777777" w:rsidR="004C6F61" w:rsidRPr="004C6F61" w:rsidRDefault="004C6F61" w:rsidP="004C6F61">
      <w:pPr>
        <w:spacing w:after="0" w:line="240" w:lineRule="auto"/>
        <w:ind w:left="709"/>
        <w:jc w:val="both"/>
        <w:rPr>
          <w:rFonts w:ascii="Arial" w:hAnsi="Arial" w:cs="Arial"/>
          <w:bCs/>
          <w:iCs/>
          <w:lang w:val="en-US"/>
        </w:rPr>
      </w:pPr>
    </w:p>
    <w:p w14:paraId="5D12C327" w14:textId="77777777" w:rsidR="004C6F61" w:rsidRPr="004C6F61" w:rsidRDefault="004C6F61" w:rsidP="004C6F61">
      <w:pPr>
        <w:numPr>
          <w:ilvl w:val="0"/>
          <w:numId w:val="23"/>
        </w:numPr>
        <w:autoSpaceDE w:val="0"/>
        <w:autoSpaceDN w:val="0"/>
        <w:adjustRightInd w:val="0"/>
        <w:spacing w:after="0" w:line="240" w:lineRule="auto"/>
        <w:ind w:left="720" w:hanging="720"/>
        <w:jc w:val="both"/>
        <w:rPr>
          <w:rFonts w:ascii="Arial" w:hAnsi="Arial" w:cs="Arial"/>
          <w:bCs/>
          <w:lang w:val="en-US"/>
        </w:rPr>
      </w:pPr>
      <w:r w:rsidRPr="004C6F61">
        <w:rPr>
          <w:rFonts w:ascii="Arial" w:hAnsi="Arial" w:cs="Arial"/>
          <w:lang w:eastAsia="ar-SA"/>
        </w:rPr>
        <w:t xml:space="preserve">The faithful representation in the financial statements of the balance of the Accounts Receivable (AR) with a carrying amount of P5.064 billion as of December 31, 2022, cannot be ascertained in view of (a) discrepancies between the GL balances and the schedule of AR with Aging report totaling P558.437 million and P(13.133) million and (b) three (3) AR sub-accounts had abnormal (credit) balances totaling P6.531 million contrary to Paragraph 15 of the PASs No. 1 and  QC26 of the </w:t>
      </w:r>
      <w:r w:rsidRPr="004C6F61">
        <w:rPr>
          <w:rFonts w:ascii="Arial" w:hAnsi="Arial" w:cs="Arial"/>
          <w:bCs/>
          <w:lang w:val="en-US" w:eastAsia="x-none"/>
        </w:rPr>
        <w:t>CFGPFR</w:t>
      </w:r>
      <w:r w:rsidRPr="004C6F61">
        <w:rPr>
          <w:rFonts w:ascii="Arial" w:hAnsi="Arial" w:cs="Arial"/>
          <w:lang w:eastAsia="ar-SA"/>
        </w:rPr>
        <w:t>.</w:t>
      </w:r>
    </w:p>
    <w:p w14:paraId="33D589C2" w14:textId="77777777" w:rsidR="004C6F61" w:rsidRPr="004C6F61" w:rsidRDefault="004C6F61" w:rsidP="004C6F61">
      <w:pPr>
        <w:ind w:left="720"/>
        <w:contextualSpacing/>
        <w:jc w:val="both"/>
        <w:rPr>
          <w:rFonts w:ascii="Arial" w:hAnsi="Arial" w:cs="Arial"/>
          <w:bCs/>
          <w:lang w:val="en-US"/>
        </w:rPr>
      </w:pPr>
    </w:p>
    <w:p w14:paraId="2212A21B" w14:textId="77777777" w:rsidR="004C6F61" w:rsidRPr="004C6F61" w:rsidRDefault="004C6F61" w:rsidP="004C6F61">
      <w:pPr>
        <w:numPr>
          <w:ilvl w:val="0"/>
          <w:numId w:val="23"/>
        </w:numPr>
        <w:spacing w:after="0" w:line="240" w:lineRule="auto"/>
        <w:ind w:left="709" w:hanging="709"/>
        <w:jc w:val="both"/>
        <w:rPr>
          <w:rFonts w:ascii="Arial" w:hAnsi="Arial" w:cs="Arial"/>
          <w:bCs/>
          <w:lang w:val="en-US"/>
        </w:rPr>
      </w:pPr>
      <w:r w:rsidRPr="004C6F61">
        <w:rPr>
          <w:rFonts w:ascii="Arial" w:hAnsi="Arial" w:cs="Arial"/>
          <w:bCs/>
          <w:shd w:val="clear" w:color="auto" w:fill="FFFFFF"/>
          <w:lang w:val="en-US"/>
        </w:rPr>
        <w:t xml:space="preserve">The existence, completeness, validity and reliability of the Financial Liabilities totaling P9.169 billion could not be established due to (a) </w:t>
      </w:r>
      <w:r w:rsidRPr="004C6F61">
        <w:rPr>
          <w:rFonts w:ascii="Arial" w:hAnsi="Arial" w:cs="Arial"/>
          <w:bCs/>
          <w:shd w:val="clear" w:color="auto" w:fill="FFFFFF"/>
        </w:rPr>
        <w:t xml:space="preserve">Discrepancy between the GL balances and the supporting schedules of the Financial Liabilities amounting to P466.566 million; (b) </w:t>
      </w:r>
      <w:r w:rsidRPr="004C6F61">
        <w:rPr>
          <w:rFonts w:ascii="Arial" w:hAnsi="Arial" w:cs="Arial"/>
          <w:iCs/>
          <w:shd w:val="clear" w:color="auto" w:fill="FFFFFF"/>
        </w:rPr>
        <w:t xml:space="preserve">Existence of long outstanding payables amounting to P462.370 million, P3.889 billion and P745.232 million for PF, CF, and AP-Miscellaneous-OF, respectively; (c) </w:t>
      </w:r>
      <w:r w:rsidRPr="004C6F61">
        <w:rPr>
          <w:rFonts w:ascii="Arial" w:hAnsi="Arial" w:cs="Arial"/>
          <w:bCs/>
          <w:iCs/>
          <w:shd w:val="clear" w:color="auto" w:fill="FFFFFF"/>
        </w:rPr>
        <w:t xml:space="preserve">Abnormal (debit) GL balances of AP-OF Head Office account, AP-Miscellaneous Branch account amounting to P45.762 million and P35.171 million, respectively; and abnormal balances presented in AP-CF Schedule and Aging of AP-Miscellaneous (OF) amounting to P0.845 million and P90.298 million, respectively; and (d) Understatement of AP-CF account in the amount of P12.140 million due to erroneous recording of a cancelled check as an issued check, </w:t>
      </w:r>
      <w:r w:rsidRPr="004C6F61">
        <w:rPr>
          <w:rFonts w:ascii="Arial" w:hAnsi="Arial" w:cs="Arial"/>
          <w:bCs/>
          <w:shd w:val="clear" w:color="auto" w:fill="FFFFFF"/>
          <w:lang w:val="en-US"/>
        </w:rPr>
        <w:t>contrary to PAS 1 and Sections 111 (1) and 114 (2) of P</w:t>
      </w:r>
      <w:r w:rsidR="00F02DA0">
        <w:rPr>
          <w:rFonts w:ascii="Arial" w:hAnsi="Arial" w:cs="Arial"/>
          <w:bCs/>
          <w:shd w:val="clear" w:color="auto" w:fill="FFFFFF"/>
          <w:lang w:val="en-US"/>
        </w:rPr>
        <w:t>D</w:t>
      </w:r>
      <w:r w:rsidRPr="004C6F61">
        <w:rPr>
          <w:rFonts w:ascii="Arial" w:hAnsi="Arial" w:cs="Arial"/>
          <w:bCs/>
          <w:shd w:val="clear" w:color="auto" w:fill="FFFFFF"/>
          <w:lang w:val="en-US"/>
        </w:rPr>
        <w:t xml:space="preserve"> No. 1445.</w:t>
      </w:r>
    </w:p>
    <w:p w14:paraId="3FE1BC5A" w14:textId="77777777" w:rsidR="004C6F61" w:rsidRPr="004C6F61" w:rsidRDefault="004C6F61" w:rsidP="004C6F61">
      <w:pPr>
        <w:spacing w:after="160" w:line="259" w:lineRule="auto"/>
        <w:contextualSpacing/>
        <w:jc w:val="both"/>
        <w:rPr>
          <w:rFonts w:ascii="Arial" w:hAnsi="Arial" w:cs="Arial"/>
          <w:bCs/>
          <w:shd w:val="clear" w:color="auto" w:fill="FFFFFF"/>
        </w:rPr>
      </w:pPr>
    </w:p>
    <w:p w14:paraId="52039AAB" w14:textId="77777777" w:rsidR="004C6F61" w:rsidRPr="004C6F61" w:rsidRDefault="004C6F61" w:rsidP="004C6F61">
      <w:pPr>
        <w:numPr>
          <w:ilvl w:val="0"/>
          <w:numId w:val="2"/>
        </w:numPr>
        <w:spacing w:after="0" w:line="240" w:lineRule="auto"/>
        <w:ind w:left="720"/>
        <w:jc w:val="both"/>
        <w:rPr>
          <w:rFonts w:ascii="Arial" w:hAnsi="Arial" w:cs="Arial"/>
          <w:bCs/>
          <w:lang w:val="en-US"/>
        </w:rPr>
      </w:pPr>
      <w:r w:rsidRPr="004C6F61">
        <w:rPr>
          <w:rFonts w:ascii="Arial" w:hAnsi="Arial" w:cs="Arial"/>
          <w:bCs/>
          <w:lang w:val="en-US"/>
        </w:rPr>
        <w:t>The faithful representation in the financial statements of the balance of the Property, Plant and Equipment (PPE) account with a carrying amount of P996.545 million as of December 31, 2022 could not be ascertained due to: (a) Variance of P276.970 million between the balance of the PPE account per books and the Report on the Physical Count of PPE (RPCPPE)</w:t>
      </w:r>
      <w:r w:rsidRPr="004C6F61" w:rsidDel="00FA7662">
        <w:rPr>
          <w:rFonts w:ascii="Arial" w:hAnsi="Arial" w:cs="Arial"/>
          <w:bCs/>
          <w:lang w:val="en-US"/>
        </w:rPr>
        <w:t xml:space="preserve"> </w:t>
      </w:r>
      <w:r w:rsidRPr="004C6F61">
        <w:rPr>
          <w:rFonts w:ascii="Arial" w:hAnsi="Arial" w:cs="Arial"/>
          <w:bCs/>
          <w:lang w:val="en-US"/>
        </w:rPr>
        <w:t>of the Head Office and various Branch Offices; and (b) Variance of P265.787 million between the carrying amount of depreciable PPE per books and the corresponding Lapsing Schedules/PPE Ledger Cards (PPELCs), thus affecting the fair presentation of the balance of the account in the Financial Statements contrary to paragraph 15 of PAS 1.</w:t>
      </w:r>
    </w:p>
    <w:p w14:paraId="6F516105" w14:textId="77777777" w:rsidR="004C6F61" w:rsidRPr="004C6F61" w:rsidRDefault="004C6F61" w:rsidP="004C6F61">
      <w:pPr>
        <w:spacing w:after="0" w:line="240" w:lineRule="auto"/>
        <w:ind w:left="720"/>
        <w:jc w:val="both"/>
        <w:rPr>
          <w:rFonts w:ascii="Arial" w:hAnsi="Arial" w:cs="Arial"/>
          <w:bCs/>
          <w:lang w:val="en-US"/>
        </w:rPr>
      </w:pPr>
    </w:p>
    <w:p w14:paraId="2003E0EC" w14:textId="77777777" w:rsidR="004C6F61" w:rsidRPr="004C6F61" w:rsidRDefault="004C6F61" w:rsidP="00E20F8F">
      <w:pPr>
        <w:spacing w:after="0" w:line="240" w:lineRule="auto"/>
        <w:jc w:val="both"/>
        <w:rPr>
          <w:rFonts w:ascii="Arial" w:eastAsia="Times New Roman" w:hAnsi="Arial" w:cs="Arial"/>
          <w:bCs/>
          <w:color w:val="000000"/>
          <w:lang w:val="en-US"/>
        </w:rPr>
      </w:pPr>
      <w:r w:rsidRPr="00E20F8F">
        <w:rPr>
          <w:rFonts w:ascii="Arial" w:eastAsia="Arial" w:hAnsi="Arial" w:cs="Arial"/>
        </w:rPr>
        <w:t>For the afore-stated observations, we recommended that Management:</w:t>
      </w:r>
    </w:p>
    <w:p w14:paraId="4FD88AFC" w14:textId="77777777" w:rsidR="004C6F61" w:rsidRPr="004C6F61" w:rsidRDefault="004C6F61" w:rsidP="004C6F61">
      <w:pPr>
        <w:keepNext/>
        <w:keepLines/>
        <w:spacing w:after="0" w:line="240" w:lineRule="auto"/>
        <w:jc w:val="both"/>
        <w:rPr>
          <w:rFonts w:ascii="Arial" w:eastAsia="Times New Roman" w:hAnsi="Arial" w:cs="Arial"/>
          <w:bCs/>
          <w:sz w:val="24"/>
          <w:szCs w:val="24"/>
          <w:lang w:val="en-US"/>
        </w:rPr>
      </w:pPr>
    </w:p>
    <w:p w14:paraId="4158C9CD" w14:textId="77777777" w:rsidR="004C6F61" w:rsidRPr="004C6F61" w:rsidRDefault="004C6F61" w:rsidP="004C6F61">
      <w:pPr>
        <w:keepNext/>
        <w:keepLines/>
        <w:numPr>
          <w:ilvl w:val="1"/>
          <w:numId w:val="5"/>
        </w:numPr>
        <w:spacing w:after="0" w:line="240" w:lineRule="auto"/>
        <w:jc w:val="both"/>
        <w:rPr>
          <w:rFonts w:ascii="Arial" w:hAnsi="Arial" w:cs="Arial"/>
        </w:rPr>
      </w:pPr>
      <w:r w:rsidRPr="004C6F61">
        <w:rPr>
          <w:rFonts w:ascii="Arial" w:hAnsi="Arial" w:cs="Arial"/>
        </w:rPr>
        <w:t>Instruct the concerned Accounting and Budget Department (ABD) to prepare an adjusting entry for the printing expenses of P568.561 million by debiting the RE and crediting the Other Provision – STL accounts both by the same amount; henceforth, observe Paragraph 4.50 of the CFGFR in recording income and expense.</w:t>
      </w:r>
    </w:p>
    <w:p w14:paraId="064298AA" w14:textId="77777777" w:rsidR="004C6F61" w:rsidRPr="004C6F61" w:rsidRDefault="004C6F61" w:rsidP="004C6F61">
      <w:pPr>
        <w:ind w:left="720"/>
        <w:contextualSpacing/>
        <w:jc w:val="both"/>
        <w:rPr>
          <w:rFonts w:ascii="Arial" w:hAnsi="Arial" w:cs="Arial"/>
          <w:color w:val="000000" w:themeColor="text1"/>
          <w:lang w:val="en-US"/>
        </w:rPr>
      </w:pPr>
    </w:p>
    <w:p w14:paraId="43E76768" w14:textId="77777777" w:rsidR="004C6F61" w:rsidRPr="004C6F61" w:rsidRDefault="004C6F61" w:rsidP="004C6F61">
      <w:pPr>
        <w:numPr>
          <w:ilvl w:val="0"/>
          <w:numId w:val="5"/>
        </w:numPr>
        <w:spacing w:after="0" w:line="240" w:lineRule="auto"/>
        <w:jc w:val="both"/>
        <w:rPr>
          <w:rFonts w:ascii="Arial" w:hAnsi="Arial" w:cs="Arial"/>
          <w:vanish/>
          <w:lang w:val="en-US"/>
        </w:rPr>
      </w:pPr>
    </w:p>
    <w:p w14:paraId="1F76DCB8" w14:textId="77777777" w:rsidR="004C6F61" w:rsidRPr="004C6F61" w:rsidRDefault="004C6F61" w:rsidP="004C6F61">
      <w:pPr>
        <w:numPr>
          <w:ilvl w:val="1"/>
          <w:numId w:val="5"/>
        </w:numPr>
        <w:spacing w:after="0" w:line="240" w:lineRule="auto"/>
        <w:jc w:val="both"/>
        <w:rPr>
          <w:rFonts w:ascii="Arial" w:hAnsi="Arial" w:cs="Arial"/>
          <w:bCs/>
          <w:lang w:val="en-US"/>
        </w:rPr>
      </w:pPr>
      <w:r w:rsidRPr="004C6F61">
        <w:rPr>
          <w:rFonts w:ascii="Arial" w:hAnsi="Arial" w:cs="Arial"/>
        </w:rPr>
        <w:t xml:space="preserve">Require the ABD and Asset and Supply Management Department (ASMD) personnel to: (a) </w:t>
      </w:r>
      <w:r w:rsidRPr="004C6F61">
        <w:rPr>
          <w:rFonts w:ascii="Arial" w:hAnsi="Arial" w:cs="Arial"/>
          <w:lang w:val="en-US"/>
        </w:rPr>
        <w:t xml:space="preserve">Fast track the verification/reconciliation of the records/documents of the used inventories of P45.418 million and prepare the necessary adjustments or corrections in the books; (b) </w:t>
      </w:r>
      <w:r w:rsidRPr="004C6F61">
        <w:rPr>
          <w:rFonts w:ascii="Arial" w:hAnsi="Arial" w:cs="Arial"/>
          <w:bCs/>
          <w:lang w:val="en-US"/>
        </w:rPr>
        <w:t xml:space="preserve">Submit to the respective Audit Team the RPCI of </w:t>
      </w:r>
      <w:r w:rsidRPr="004C6F61">
        <w:rPr>
          <w:rFonts w:ascii="Arial" w:hAnsi="Arial" w:cs="Arial"/>
          <w:lang w:eastAsia="ar-SA"/>
        </w:rPr>
        <w:t xml:space="preserve">Play/Bet Slips and Thermal Rolls for VISMIN and Printing Materials for Lotto with book balances </w:t>
      </w:r>
      <w:r w:rsidRPr="004C6F61">
        <w:rPr>
          <w:rFonts w:ascii="Arial" w:hAnsi="Arial" w:cs="Arial"/>
          <w:bCs/>
          <w:lang w:val="en-US"/>
        </w:rPr>
        <w:t>of P29.362 million and P0.426 million, respectively; and (c) Prepare/maintain SLC, SC and other inventory records/reports required in Section 17, Chapter 8, Volume 1 of the Government Accounting Manual.</w:t>
      </w:r>
      <w:r w:rsidRPr="004C6F61">
        <w:rPr>
          <w:rFonts w:ascii="Arial" w:hAnsi="Arial" w:cs="Arial"/>
          <w:b/>
          <w:bCs/>
          <w:lang w:val="en-US"/>
        </w:rPr>
        <w:t xml:space="preserve">  </w:t>
      </w:r>
    </w:p>
    <w:p w14:paraId="2DFE53D0" w14:textId="77777777" w:rsidR="004C6F61" w:rsidRPr="004C6F61" w:rsidRDefault="004C6F61" w:rsidP="004C6F61">
      <w:pPr>
        <w:spacing w:after="0" w:line="240" w:lineRule="auto"/>
        <w:ind w:left="720"/>
        <w:jc w:val="both"/>
        <w:rPr>
          <w:rFonts w:ascii="Arial" w:hAnsi="Arial" w:cs="Arial"/>
          <w:bCs/>
          <w:lang w:val="en-US"/>
        </w:rPr>
      </w:pPr>
    </w:p>
    <w:p w14:paraId="10E22BA8" w14:textId="77777777" w:rsidR="004C6F61" w:rsidRPr="004C6F61" w:rsidRDefault="004C6F61" w:rsidP="004C6F61">
      <w:pPr>
        <w:numPr>
          <w:ilvl w:val="0"/>
          <w:numId w:val="7"/>
        </w:numPr>
        <w:spacing w:after="0" w:line="240" w:lineRule="auto"/>
        <w:jc w:val="both"/>
        <w:rPr>
          <w:rFonts w:ascii="Arial" w:hAnsi="Arial" w:cs="Arial"/>
          <w:vanish/>
          <w:color w:val="000000" w:themeColor="text1"/>
          <w:lang w:val="en-US" w:eastAsia="ar-SA"/>
        </w:rPr>
      </w:pPr>
    </w:p>
    <w:p w14:paraId="4FB17E62" w14:textId="77777777" w:rsidR="004C6F61" w:rsidRPr="004C6F61" w:rsidRDefault="004C6F61" w:rsidP="004C6F61">
      <w:pPr>
        <w:numPr>
          <w:ilvl w:val="0"/>
          <w:numId w:val="7"/>
        </w:numPr>
        <w:spacing w:after="0" w:line="240" w:lineRule="auto"/>
        <w:jc w:val="both"/>
        <w:rPr>
          <w:rFonts w:ascii="Arial" w:hAnsi="Arial" w:cs="Arial"/>
          <w:vanish/>
          <w:color w:val="000000" w:themeColor="text1"/>
          <w:lang w:val="en-US" w:eastAsia="ar-SA"/>
        </w:rPr>
      </w:pPr>
    </w:p>
    <w:p w14:paraId="674A51D6" w14:textId="77777777" w:rsidR="004C6F61" w:rsidRPr="004C6F61" w:rsidRDefault="004C6F61" w:rsidP="004C6F61">
      <w:pPr>
        <w:numPr>
          <w:ilvl w:val="1"/>
          <w:numId w:val="7"/>
        </w:numPr>
        <w:spacing w:after="0" w:line="240" w:lineRule="auto"/>
        <w:ind w:left="720"/>
        <w:jc w:val="both"/>
        <w:rPr>
          <w:rFonts w:ascii="Arial" w:hAnsi="Arial" w:cs="Arial"/>
          <w:i/>
          <w:color w:val="000000" w:themeColor="text1"/>
          <w:lang w:val="en-US"/>
        </w:rPr>
      </w:pPr>
      <w:r w:rsidRPr="004C6F61">
        <w:rPr>
          <w:rFonts w:ascii="Arial" w:hAnsi="Arial" w:cs="Arial"/>
          <w:bCs/>
          <w:lang w:val="en-US"/>
        </w:rPr>
        <w:t xml:space="preserve">Direct the ABD to: (a) Prepare an adjusting entry to correct the understatement of the guaranteed sales recorded in December 2022 amounting to P46.134 million, and the understatement of the guaranteed sales recorded for January to May 2023 totaling P230.670 million; and (b) </w:t>
      </w:r>
      <w:r w:rsidRPr="004C6F61">
        <w:rPr>
          <w:rFonts w:ascii="Arial" w:hAnsi="Arial" w:cs="Arial"/>
          <w:bCs/>
        </w:rPr>
        <w:t>Bill the Instant Sweepstakes Authorized Corporation, and accordingly collect therefrom, the amount of the understatement of the PCSO guaranteed share and the payments for DST and PFT, totaling P76.661 million.</w:t>
      </w:r>
    </w:p>
    <w:p w14:paraId="29326F96" w14:textId="77777777" w:rsidR="004C6F61" w:rsidRPr="004C6F61" w:rsidRDefault="004C6F61" w:rsidP="004C6F61">
      <w:pPr>
        <w:spacing w:after="0" w:line="240" w:lineRule="auto"/>
        <w:ind w:left="720"/>
        <w:jc w:val="both"/>
        <w:rPr>
          <w:rFonts w:ascii="Arial" w:hAnsi="Arial" w:cs="Arial"/>
          <w:i/>
          <w:color w:val="000000" w:themeColor="text1"/>
          <w:lang w:val="en-US"/>
        </w:rPr>
      </w:pPr>
    </w:p>
    <w:p w14:paraId="0EEF961A" w14:textId="77777777" w:rsidR="004C6F61" w:rsidRPr="004C6F61" w:rsidRDefault="004C6F61" w:rsidP="004C6F61">
      <w:pPr>
        <w:numPr>
          <w:ilvl w:val="0"/>
          <w:numId w:val="10"/>
        </w:numPr>
        <w:spacing w:after="0" w:line="240" w:lineRule="auto"/>
        <w:jc w:val="both"/>
        <w:rPr>
          <w:rFonts w:ascii="Arial" w:hAnsi="Arial" w:cs="Arial"/>
          <w:vanish/>
          <w:lang w:val="en-US"/>
        </w:rPr>
      </w:pPr>
    </w:p>
    <w:p w14:paraId="185E174C" w14:textId="77777777" w:rsidR="004C6F61" w:rsidRPr="004C6F61" w:rsidRDefault="004C6F61" w:rsidP="004C6F61">
      <w:pPr>
        <w:numPr>
          <w:ilvl w:val="0"/>
          <w:numId w:val="10"/>
        </w:numPr>
        <w:spacing w:after="0" w:line="240" w:lineRule="auto"/>
        <w:jc w:val="both"/>
        <w:rPr>
          <w:rFonts w:ascii="Arial" w:hAnsi="Arial" w:cs="Arial"/>
          <w:vanish/>
          <w:lang w:val="en-US"/>
        </w:rPr>
      </w:pPr>
    </w:p>
    <w:p w14:paraId="6CB08CC2" w14:textId="77777777" w:rsidR="004C6F61" w:rsidRPr="004C6F61" w:rsidRDefault="004C6F61" w:rsidP="004C6F61">
      <w:pPr>
        <w:numPr>
          <w:ilvl w:val="1"/>
          <w:numId w:val="10"/>
        </w:numPr>
        <w:spacing w:after="0" w:line="240" w:lineRule="auto"/>
        <w:ind w:left="720"/>
        <w:jc w:val="both"/>
        <w:rPr>
          <w:rFonts w:ascii="Arial" w:hAnsi="Arial" w:cs="Arial"/>
          <w:lang w:val="en-US"/>
        </w:rPr>
      </w:pPr>
      <w:r w:rsidRPr="004C6F61">
        <w:rPr>
          <w:rFonts w:ascii="Arial" w:hAnsi="Arial" w:cs="Arial"/>
          <w:bCs/>
          <w:lang w:val="en-US"/>
        </w:rPr>
        <w:t>Direct the concerned accounting personnel to: (a)</w:t>
      </w:r>
      <w:r w:rsidRPr="004C6F61">
        <w:rPr>
          <w:rFonts w:ascii="Arial" w:hAnsi="Arial" w:cs="Arial"/>
          <w:iCs/>
        </w:rPr>
        <w:t xml:space="preserve"> Effect the necessary adjustments, after thorough verification of the long–outstanding reconciling items, to correct the affected accounts, the negative balances totaling P3.613 million of the Cash in Bank account and P0.483 million which pertained to the balance of closed PNB account; and (b) </w:t>
      </w:r>
      <w:r w:rsidRPr="004C6F61">
        <w:rPr>
          <w:rFonts w:ascii="Arial" w:hAnsi="Arial" w:cs="Arial"/>
          <w:lang w:val="en-US"/>
        </w:rPr>
        <w:t xml:space="preserve">Intensify the efforts in coordinating with the corresponding depository banks to clear out the details of the bank reconciling items and investigate the cause/s of the alleged unposted deposit totaling P2.092 million so that appropriate action may be undertaken. </w:t>
      </w:r>
    </w:p>
    <w:p w14:paraId="4C14D9A0" w14:textId="77777777" w:rsidR="004C6F61" w:rsidRPr="004C6F61" w:rsidRDefault="004C6F61" w:rsidP="004C6F61">
      <w:pPr>
        <w:numPr>
          <w:ilvl w:val="0"/>
          <w:numId w:val="13"/>
        </w:numPr>
        <w:spacing w:after="0" w:line="240" w:lineRule="auto"/>
        <w:jc w:val="both"/>
        <w:rPr>
          <w:rFonts w:ascii="Arial" w:hAnsi="Arial" w:cs="Arial"/>
          <w:vanish/>
          <w:lang w:val="en-US"/>
        </w:rPr>
      </w:pPr>
    </w:p>
    <w:p w14:paraId="56ED9F5F" w14:textId="77777777" w:rsidR="004C6F61" w:rsidRPr="004C6F61" w:rsidRDefault="004C6F61" w:rsidP="004C6F61">
      <w:pPr>
        <w:numPr>
          <w:ilvl w:val="0"/>
          <w:numId w:val="13"/>
        </w:numPr>
        <w:spacing w:after="0" w:line="240" w:lineRule="auto"/>
        <w:jc w:val="both"/>
        <w:rPr>
          <w:rFonts w:ascii="Arial" w:hAnsi="Arial" w:cs="Arial"/>
          <w:vanish/>
          <w:lang w:val="en-US"/>
        </w:rPr>
      </w:pPr>
    </w:p>
    <w:p w14:paraId="7507EDF4" w14:textId="77777777" w:rsidR="004C6F61" w:rsidRPr="004C6F61" w:rsidRDefault="004C6F61" w:rsidP="004C6F61">
      <w:pPr>
        <w:spacing w:after="0" w:line="240" w:lineRule="auto"/>
        <w:ind w:left="720"/>
        <w:jc w:val="both"/>
        <w:rPr>
          <w:rFonts w:ascii="Arial" w:hAnsi="Arial" w:cs="Arial"/>
          <w:bCs/>
          <w:lang w:val="en-US"/>
        </w:rPr>
      </w:pPr>
    </w:p>
    <w:p w14:paraId="4C409FCD" w14:textId="77777777" w:rsidR="004C6F61" w:rsidRPr="004C6F61" w:rsidRDefault="004C6F61" w:rsidP="004C6F61">
      <w:pPr>
        <w:numPr>
          <w:ilvl w:val="1"/>
          <w:numId w:val="13"/>
        </w:numPr>
        <w:spacing w:after="0" w:line="240" w:lineRule="auto"/>
        <w:ind w:left="720"/>
        <w:jc w:val="both"/>
        <w:rPr>
          <w:rFonts w:ascii="Arial" w:hAnsi="Arial" w:cs="Arial"/>
          <w:color w:val="000000" w:themeColor="text1"/>
          <w:lang w:val="en-US" w:eastAsia="ar-SA"/>
        </w:rPr>
      </w:pPr>
      <w:r w:rsidRPr="004C6F61">
        <w:rPr>
          <w:rFonts w:ascii="Arial" w:hAnsi="Arial" w:cs="Arial"/>
        </w:rPr>
        <w:t xml:space="preserve">Direct the concerned personnel of the ABD and Branch Operating Sector to: (a) </w:t>
      </w:r>
      <w:r w:rsidRPr="004C6F61">
        <w:rPr>
          <w:rFonts w:ascii="Arial" w:hAnsi="Arial" w:cs="Arial"/>
          <w:color w:val="000000" w:themeColor="text1"/>
          <w:lang w:val="en-US" w:eastAsia="ar-SA"/>
        </w:rPr>
        <w:t xml:space="preserve">Examine and determine the causes of the discrepancies between the GL balances and the schedule of AR with Aging report as well as the abnormal (credit) balances totaling P558.437 million, P(13.133) million and P6.531 million, respectively and make the necessary adjustments of the affected accounts to ensure that the balances of the affected accounts are fairly presented in the financial statements pursuant to Paragraph 15 of PAS 1; and (b) </w:t>
      </w:r>
      <w:r w:rsidRPr="004C6F61">
        <w:rPr>
          <w:rFonts w:ascii="Arial" w:hAnsi="Arial" w:cs="Arial"/>
          <w:lang w:val="en-US"/>
        </w:rPr>
        <w:t xml:space="preserve">Prepare a complete schedule of the AR with aging report and Subsidiary Ledgers (SLs) as required under </w:t>
      </w:r>
      <w:r w:rsidRPr="004C6F61">
        <w:rPr>
          <w:rFonts w:ascii="Arial" w:hAnsi="Arial" w:cs="Arial"/>
          <w:bCs/>
          <w:lang w:val="en-US"/>
        </w:rPr>
        <w:t>Section 41(2) of PD No. 1445</w:t>
      </w:r>
    </w:p>
    <w:p w14:paraId="663F668B" w14:textId="77777777" w:rsidR="004C6F61" w:rsidRPr="004C6F61" w:rsidRDefault="004C6F61" w:rsidP="004C6F61">
      <w:pPr>
        <w:spacing w:after="0" w:line="240" w:lineRule="auto"/>
        <w:ind w:left="720"/>
        <w:jc w:val="both"/>
        <w:rPr>
          <w:rFonts w:ascii="Arial" w:hAnsi="Arial" w:cs="Arial"/>
          <w:color w:val="000000" w:themeColor="text1"/>
          <w:lang w:val="en-US" w:eastAsia="ar-SA"/>
        </w:rPr>
      </w:pPr>
    </w:p>
    <w:p w14:paraId="294DD1FE" w14:textId="77777777" w:rsidR="004C6F61" w:rsidRPr="004C6F61" w:rsidRDefault="004C6F61" w:rsidP="004C6F61">
      <w:pPr>
        <w:numPr>
          <w:ilvl w:val="0"/>
          <w:numId w:val="13"/>
        </w:numPr>
        <w:spacing w:after="0" w:line="240" w:lineRule="auto"/>
        <w:jc w:val="both"/>
        <w:rPr>
          <w:rFonts w:ascii="Arial" w:hAnsi="Arial" w:cs="Arial"/>
          <w:bCs/>
          <w:vanish/>
          <w:lang w:val="en-US"/>
        </w:rPr>
      </w:pPr>
    </w:p>
    <w:p w14:paraId="297DBB8A" w14:textId="77777777" w:rsidR="004C6F61" w:rsidRPr="004C6F61" w:rsidRDefault="004C6F61" w:rsidP="004C6F61">
      <w:pPr>
        <w:numPr>
          <w:ilvl w:val="1"/>
          <w:numId w:val="13"/>
        </w:numPr>
        <w:spacing w:after="0" w:line="240" w:lineRule="auto"/>
        <w:ind w:left="720"/>
        <w:jc w:val="both"/>
        <w:rPr>
          <w:rFonts w:ascii="Arial" w:hAnsi="Arial" w:cs="Arial"/>
          <w:bCs/>
          <w:color w:val="000000" w:themeColor="text1"/>
          <w:lang w:val="en-US" w:eastAsia="ar-SA"/>
        </w:rPr>
      </w:pPr>
      <w:r w:rsidRPr="004C6F61">
        <w:rPr>
          <w:rFonts w:ascii="Arial" w:hAnsi="Arial" w:cs="Arial"/>
        </w:rPr>
        <w:t xml:space="preserve">Direct ABD to: (a) </w:t>
      </w:r>
      <w:r w:rsidRPr="004C6F61">
        <w:rPr>
          <w:rFonts w:ascii="Arial" w:hAnsi="Arial" w:cs="Arial"/>
          <w:bCs/>
          <w:color w:val="000000" w:themeColor="text1"/>
          <w:lang w:val="en-US" w:eastAsia="ar-SA"/>
        </w:rPr>
        <w:t xml:space="preserve">Analyze and determine the causes of the discrepancies between the GL balances and the supporting schedules for the Financial Liabilities and make the necessary adjustments. Henceforth, ensure that GL balances are duly supported with SL; (b) </w:t>
      </w:r>
      <w:r w:rsidRPr="004C6F61">
        <w:rPr>
          <w:rFonts w:ascii="Arial" w:hAnsi="Arial" w:cs="Arial"/>
          <w:bCs/>
          <w:color w:val="000000" w:themeColor="text1"/>
          <w:lang w:eastAsia="ar-SA"/>
        </w:rPr>
        <w:t xml:space="preserve">Verify the validity of the long outstanding payables under PF, CF and AP-Miscellaneous-OF amounting to P462.370 million, P3.889 billion and P745.232 million, respectively, after which prepare and record the required adjusting entries; and (c) </w:t>
      </w:r>
      <w:r w:rsidRPr="004C6F61">
        <w:rPr>
          <w:rFonts w:ascii="Arial" w:hAnsi="Arial" w:cs="Arial"/>
          <w:bCs/>
        </w:rPr>
        <w:t>Analyze the abnormal (debit) balances of the AP-OF, AP-CF and AP Miscellaneous accounts and book up the necessary adjustments.</w:t>
      </w:r>
    </w:p>
    <w:p w14:paraId="579074CC" w14:textId="77777777" w:rsidR="004C6F61" w:rsidRPr="004C6F61" w:rsidRDefault="004C6F61" w:rsidP="004C6F61">
      <w:pPr>
        <w:spacing w:after="0" w:line="240" w:lineRule="auto"/>
        <w:ind w:left="720"/>
        <w:jc w:val="both"/>
        <w:rPr>
          <w:rFonts w:ascii="Arial" w:hAnsi="Arial" w:cs="Arial"/>
          <w:bCs/>
          <w:lang w:val="en-US"/>
        </w:rPr>
      </w:pPr>
    </w:p>
    <w:p w14:paraId="5BDDA3E1" w14:textId="77777777" w:rsidR="004C6F61" w:rsidRPr="004C6F61" w:rsidRDefault="004C6F61" w:rsidP="004C6F61">
      <w:pPr>
        <w:numPr>
          <w:ilvl w:val="0"/>
          <w:numId w:val="13"/>
        </w:numPr>
        <w:spacing w:after="0" w:line="240" w:lineRule="auto"/>
        <w:jc w:val="both"/>
        <w:rPr>
          <w:rFonts w:ascii="Arial" w:hAnsi="Arial" w:cs="Arial"/>
          <w:bCs/>
          <w:vanish/>
          <w:lang w:val="en-US"/>
        </w:rPr>
      </w:pPr>
    </w:p>
    <w:p w14:paraId="60E4CC8C" w14:textId="77777777" w:rsidR="004C6F61" w:rsidRPr="004C6F61" w:rsidRDefault="004C6F61" w:rsidP="004C6F61">
      <w:pPr>
        <w:numPr>
          <w:ilvl w:val="1"/>
          <w:numId w:val="13"/>
        </w:numPr>
        <w:spacing w:after="0" w:line="240" w:lineRule="auto"/>
        <w:ind w:left="720"/>
        <w:jc w:val="both"/>
        <w:rPr>
          <w:rFonts w:ascii="Arial" w:hAnsi="Arial" w:cs="Arial"/>
          <w:bCs/>
          <w:lang w:val="en-US"/>
        </w:rPr>
      </w:pPr>
      <w:r w:rsidRPr="004C6F61">
        <w:rPr>
          <w:rFonts w:ascii="Arial" w:hAnsi="Arial" w:cs="Arial"/>
          <w:bCs/>
        </w:rPr>
        <w:t xml:space="preserve">Direct the ASMD to (a) Include in the RPCPPE the real properties and machinery &amp; equipment, the land, other land improvements, buildings, other structures, leased assets, buildings and other structures, military, police and security equipment, printing equipment, other machinery and equipment; (b) </w:t>
      </w:r>
      <w:r w:rsidRPr="004C6F61">
        <w:rPr>
          <w:rFonts w:ascii="Arial" w:hAnsi="Arial" w:cs="Arial"/>
          <w:bCs/>
          <w:lang w:val="en-US"/>
        </w:rPr>
        <w:t xml:space="preserve">Review the items in the RPCPPE and correct those that have been recorded twice; and (c) </w:t>
      </w:r>
      <w:r w:rsidRPr="004C6F61">
        <w:rPr>
          <w:rFonts w:ascii="Arial" w:hAnsi="Arial" w:cs="Arial"/>
          <w:bCs/>
        </w:rPr>
        <w:t>Conduct the annual physical inventory and prepare and submit a complete RPCPPE as required under COA Circular No. 80-124 dated January 18, 1980. Property records shall be updated based on the results of the physical inventory and the RPCPPE shall be reconciled with the PPELC, PC and the GL/control accounts. Any discrepancies shall be immediately verified and adjusted.</w:t>
      </w:r>
    </w:p>
    <w:p w14:paraId="44880095" w14:textId="77777777" w:rsidR="004C6F61" w:rsidRPr="004C6F61" w:rsidRDefault="004C6F61" w:rsidP="004C6F61">
      <w:pPr>
        <w:spacing w:after="0" w:line="240" w:lineRule="auto"/>
        <w:ind w:left="720"/>
        <w:jc w:val="both"/>
        <w:rPr>
          <w:rFonts w:ascii="Arial" w:hAnsi="Arial" w:cs="Arial"/>
          <w:bCs/>
          <w:lang w:val="en-US"/>
        </w:rPr>
      </w:pPr>
    </w:p>
    <w:p w14:paraId="308B3949" w14:textId="77777777" w:rsidR="004C6F61" w:rsidRPr="004C6F61" w:rsidRDefault="004C6F61" w:rsidP="004C6F61">
      <w:pPr>
        <w:numPr>
          <w:ilvl w:val="1"/>
          <w:numId w:val="13"/>
        </w:numPr>
        <w:spacing w:after="0" w:line="240" w:lineRule="auto"/>
        <w:ind w:left="720"/>
        <w:jc w:val="both"/>
        <w:rPr>
          <w:rFonts w:ascii="Arial" w:hAnsi="Arial" w:cs="Arial"/>
          <w:bCs/>
          <w:lang w:val="en-US"/>
        </w:rPr>
      </w:pPr>
      <w:r w:rsidRPr="004C6F61">
        <w:rPr>
          <w:rFonts w:ascii="Arial" w:hAnsi="Arial" w:cs="Arial"/>
          <w:bCs/>
          <w:lang w:val="en-US"/>
        </w:rPr>
        <w:t>Direct the ASMD and ABD see to it that the correct amount of item of PPE are those that are recorded both in the property and accounting records.</w:t>
      </w:r>
    </w:p>
    <w:p w14:paraId="6821613C" w14:textId="77777777" w:rsidR="004C6F61" w:rsidRPr="004C6F61" w:rsidRDefault="004C6F61" w:rsidP="004C6F61">
      <w:pPr>
        <w:spacing w:after="0" w:line="240" w:lineRule="auto"/>
        <w:ind w:left="720"/>
        <w:jc w:val="both"/>
        <w:rPr>
          <w:rFonts w:ascii="Arial" w:hAnsi="Arial" w:cs="Arial"/>
          <w:bCs/>
          <w:lang w:val="en-US"/>
        </w:rPr>
      </w:pPr>
    </w:p>
    <w:p w14:paraId="639C3215" w14:textId="77777777" w:rsidR="004C6F61" w:rsidRPr="004C6F61" w:rsidRDefault="004C6F61" w:rsidP="004C6F61">
      <w:pPr>
        <w:numPr>
          <w:ilvl w:val="1"/>
          <w:numId w:val="13"/>
        </w:numPr>
        <w:spacing w:after="0" w:line="240" w:lineRule="auto"/>
        <w:ind w:left="720"/>
        <w:jc w:val="both"/>
        <w:rPr>
          <w:rFonts w:ascii="Arial" w:hAnsi="Arial" w:cs="Arial"/>
          <w:bCs/>
          <w:lang w:val="en-US"/>
        </w:rPr>
      </w:pPr>
      <w:r w:rsidRPr="004C6F61">
        <w:rPr>
          <w:rFonts w:ascii="Arial" w:hAnsi="Arial" w:cs="Arial"/>
          <w:bCs/>
          <w:lang w:val="en-US"/>
        </w:rPr>
        <w:t>Instruct the ABD to maintain Lapsing Schedule/PPELCs for all items of PPE accounts both at the head office and branches.</w:t>
      </w:r>
    </w:p>
    <w:p w14:paraId="7A3A300F" w14:textId="77777777" w:rsidR="004C6F61" w:rsidRPr="004C6F61" w:rsidRDefault="004C6F61" w:rsidP="004C6F61">
      <w:pPr>
        <w:spacing w:after="0" w:line="240" w:lineRule="auto"/>
        <w:ind w:left="720"/>
        <w:jc w:val="both"/>
        <w:rPr>
          <w:rFonts w:ascii="Arial" w:hAnsi="Arial" w:cs="Arial"/>
          <w:bCs/>
          <w:lang w:val="en-US"/>
        </w:rPr>
      </w:pPr>
    </w:p>
    <w:p w14:paraId="2552A6E3" w14:textId="77777777" w:rsidR="004C6F61" w:rsidRPr="004C6F61" w:rsidRDefault="004C6F61" w:rsidP="004C6F61">
      <w:pPr>
        <w:numPr>
          <w:ilvl w:val="1"/>
          <w:numId w:val="13"/>
        </w:numPr>
        <w:spacing w:after="0" w:line="240" w:lineRule="auto"/>
        <w:ind w:left="720"/>
        <w:contextualSpacing/>
        <w:jc w:val="both"/>
        <w:rPr>
          <w:rFonts w:ascii="Arial" w:hAnsi="Arial" w:cs="Arial"/>
          <w:bCs/>
          <w:lang w:val="en-US"/>
        </w:rPr>
      </w:pPr>
      <w:r w:rsidRPr="004C6F61">
        <w:rPr>
          <w:rFonts w:ascii="Arial" w:hAnsi="Arial" w:cs="Arial"/>
          <w:bCs/>
          <w:lang w:val="en-US"/>
        </w:rPr>
        <w:t>Evaluate the possible application of COA Circular No. 2020-006 dated January 31, 2020 on one-time cleansing of PPE account balance to come up with a reliable PPE balances that are verifiable as to existence, condition and accountability.</w:t>
      </w:r>
    </w:p>
    <w:p w14:paraId="6ED91A9E" w14:textId="77777777" w:rsidR="004C6F61" w:rsidRDefault="004C6F61" w:rsidP="004C6F61">
      <w:pPr>
        <w:overflowPunct w:val="0"/>
        <w:autoSpaceDE w:val="0"/>
        <w:autoSpaceDN w:val="0"/>
        <w:adjustRightInd w:val="0"/>
        <w:spacing w:after="0" w:line="240" w:lineRule="auto"/>
        <w:ind w:right="-14"/>
        <w:jc w:val="both"/>
        <w:textAlignment w:val="baseline"/>
        <w:rPr>
          <w:rFonts w:ascii="Arial" w:eastAsia="Times New Roman" w:hAnsi="Arial" w:cs="Arial"/>
          <w:color w:val="000000"/>
          <w:lang w:val="en-US"/>
        </w:rPr>
      </w:pPr>
    </w:p>
    <w:p w14:paraId="19DF1C88" w14:textId="77777777" w:rsidR="004C6F61" w:rsidRPr="004C6F61" w:rsidRDefault="004C6F61" w:rsidP="00E20F8F">
      <w:pPr>
        <w:keepNext/>
        <w:keepLines/>
        <w:spacing w:after="0" w:line="240" w:lineRule="auto"/>
        <w:jc w:val="both"/>
        <w:rPr>
          <w:rFonts w:ascii="Arial" w:eastAsia="Times New Roman" w:hAnsi="Arial" w:cs="Arial"/>
          <w:color w:val="000000"/>
          <w:lang w:val="en-US"/>
        </w:rPr>
      </w:pPr>
      <w:r w:rsidRPr="004C6F61">
        <w:rPr>
          <w:rFonts w:ascii="Arial" w:eastAsia="Times New Roman" w:hAnsi="Arial" w:cs="Arial"/>
          <w:color w:val="000000"/>
          <w:lang w:val="en-US"/>
        </w:rPr>
        <w:lastRenderedPageBreak/>
        <w:t>The other significant audit observations and recommendations that need immediate action are as follows:</w:t>
      </w:r>
    </w:p>
    <w:p w14:paraId="1F564E12" w14:textId="77777777" w:rsidR="004C6F61" w:rsidRPr="004C6F61" w:rsidRDefault="004C6F61" w:rsidP="00E20F8F">
      <w:pPr>
        <w:keepNext/>
        <w:keepLines/>
        <w:contextualSpacing/>
        <w:jc w:val="both"/>
        <w:rPr>
          <w:rFonts w:ascii="Arial" w:hAnsi="Arial" w:cs="Arial"/>
          <w:lang w:val="en-US"/>
        </w:rPr>
      </w:pPr>
      <w:r w:rsidRPr="004C6F61">
        <w:rPr>
          <w:rFonts w:ascii="Arial" w:hAnsi="Arial" w:cs="Arial"/>
          <w:lang w:val="en-US"/>
        </w:rPr>
        <w:t xml:space="preserve">                                                  </w:t>
      </w:r>
    </w:p>
    <w:p w14:paraId="4CFDD903" w14:textId="77777777" w:rsidR="004C6F61" w:rsidRPr="00E20F8F" w:rsidRDefault="004C6F61" w:rsidP="00E20F8F">
      <w:pPr>
        <w:keepNext/>
        <w:keepLines/>
        <w:spacing w:after="0" w:line="240" w:lineRule="auto"/>
        <w:jc w:val="both"/>
        <w:rPr>
          <w:rFonts w:ascii="Arial" w:hAnsi="Arial" w:cs="Arial"/>
          <w:bCs/>
          <w:lang w:val="en-US"/>
        </w:rPr>
      </w:pPr>
    </w:p>
    <w:p w14:paraId="417B2513" w14:textId="77777777" w:rsidR="004C6F61" w:rsidRPr="004C6F61" w:rsidRDefault="004C6F61" w:rsidP="00E20F8F">
      <w:pPr>
        <w:numPr>
          <w:ilvl w:val="0"/>
          <w:numId w:val="2"/>
        </w:numPr>
        <w:spacing w:after="0" w:line="240" w:lineRule="auto"/>
        <w:ind w:left="720"/>
        <w:jc w:val="both"/>
        <w:rPr>
          <w:rFonts w:ascii="Arial" w:hAnsi="Arial" w:cs="Arial"/>
          <w:bCs/>
          <w:lang w:val="en-US"/>
        </w:rPr>
      </w:pPr>
      <w:r w:rsidRPr="004C6F61">
        <w:rPr>
          <w:rFonts w:ascii="Arial" w:hAnsi="Arial" w:cs="Arial"/>
          <w:bCs/>
          <w:lang w:val="en-US"/>
        </w:rPr>
        <w:t>The expenses recorded under the PF of STL totaling P14.370 billion for CY 2022 were not duly supported with documents required under Section 18 (</w:t>
      </w:r>
      <w:proofErr w:type="spellStart"/>
      <w:r w:rsidRPr="004C6F61">
        <w:rPr>
          <w:rFonts w:ascii="Arial" w:hAnsi="Arial" w:cs="Arial"/>
          <w:bCs/>
          <w:lang w:val="en-US"/>
        </w:rPr>
        <w:t>f.ii</w:t>
      </w:r>
      <w:proofErr w:type="spellEnd"/>
      <w:r w:rsidRPr="004C6F61">
        <w:rPr>
          <w:rFonts w:ascii="Arial" w:hAnsi="Arial" w:cs="Arial"/>
          <w:bCs/>
          <w:lang w:val="en-US"/>
        </w:rPr>
        <w:t xml:space="preserve"> and </w:t>
      </w:r>
      <w:proofErr w:type="spellStart"/>
      <w:r w:rsidRPr="004C6F61">
        <w:rPr>
          <w:rFonts w:ascii="Arial" w:hAnsi="Arial" w:cs="Arial"/>
          <w:bCs/>
          <w:lang w:val="en-US"/>
        </w:rPr>
        <w:t>f.iii</w:t>
      </w:r>
      <w:proofErr w:type="spellEnd"/>
      <w:r w:rsidRPr="004C6F61">
        <w:rPr>
          <w:rFonts w:ascii="Arial" w:hAnsi="Arial" w:cs="Arial"/>
          <w:bCs/>
          <w:lang w:val="en-US"/>
        </w:rPr>
        <w:t>) of the 2020 Revised IRR</w:t>
      </w:r>
      <w:r w:rsidRPr="004C6F61" w:rsidDel="0094087F">
        <w:rPr>
          <w:rFonts w:ascii="Arial" w:hAnsi="Arial" w:cs="Arial"/>
          <w:bCs/>
          <w:lang w:val="en-US"/>
        </w:rPr>
        <w:t xml:space="preserve"> </w:t>
      </w:r>
      <w:r w:rsidRPr="004C6F61">
        <w:rPr>
          <w:rFonts w:ascii="Arial" w:hAnsi="Arial" w:cs="Arial"/>
          <w:bCs/>
          <w:lang w:val="en-US"/>
        </w:rPr>
        <w:t>for STL, constituting non-conformance with Section 4(6) of PD No. 1445.</w:t>
      </w:r>
    </w:p>
    <w:p w14:paraId="2C4A33B4" w14:textId="77777777" w:rsidR="004C6F61" w:rsidRPr="004C6F61" w:rsidRDefault="004C6F61" w:rsidP="004C6F61">
      <w:pPr>
        <w:spacing w:after="0" w:line="240" w:lineRule="auto"/>
        <w:ind w:left="720"/>
        <w:jc w:val="both"/>
        <w:rPr>
          <w:rFonts w:ascii="Arial" w:hAnsi="Arial" w:cs="Arial"/>
          <w:bCs/>
          <w:lang w:val="en-US"/>
        </w:rPr>
      </w:pPr>
    </w:p>
    <w:p w14:paraId="35AE4626" w14:textId="77777777" w:rsidR="004C6F61" w:rsidRPr="004C6F61" w:rsidRDefault="004C6F61" w:rsidP="00E20F8F">
      <w:pPr>
        <w:numPr>
          <w:ilvl w:val="1"/>
          <w:numId w:val="48"/>
        </w:numPr>
        <w:spacing w:after="0" w:line="240" w:lineRule="auto"/>
        <w:ind w:left="720" w:hanging="540"/>
        <w:jc w:val="both"/>
        <w:rPr>
          <w:rFonts w:ascii="Arial" w:hAnsi="Arial" w:cs="Arial"/>
          <w:bCs/>
          <w:lang w:val="en-US"/>
        </w:rPr>
      </w:pPr>
      <w:r w:rsidRPr="004C6F61">
        <w:rPr>
          <w:rFonts w:ascii="Arial" w:hAnsi="Arial" w:cs="Arial"/>
        </w:rPr>
        <w:t xml:space="preserve">We recommended Management to: </w:t>
      </w:r>
    </w:p>
    <w:p w14:paraId="79C5FDC3" w14:textId="77777777" w:rsidR="004C6F61" w:rsidRPr="004C6F61" w:rsidRDefault="004C6F61" w:rsidP="004C6F61">
      <w:pPr>
        <w:ind w:left="1440"/>
        <w:contextualSpacing/>
        <w:jc w:val="both"/>
        <w:rPr>
          <w:rFonts w:ascii="Arial" w:hAnsi="Arial" w:cs="Arial"/>
        </w:rPr>
      </w:pPr>
    </w:p>
    <w:p w14:paraId="3BA51980" w14:textId="77777777" w:rsidR="004C6F61" w:rsidRPr="004C6F61" w:rsidRDefault="004C6F61" w:rsidP="004C6F61">
      <w:pPr>
        <w:numPr>
          <w:ilvl w:val="0"/>
          <w:numId w:val="45"/>
        </w:numPr>
        <w:spacing w:after="0" w:line="240" w:lineRule="auto"/>
        <w:ind w:left="1620" w:hanging="810"/>
        <w:contextualSpacing/>
        <w:jc w:val="both"/>
        <w:rPr>
          <w:rFonts w:ascii="Arial" w:hAnsi="Arial" w:cs="Arial"/>
          <w:lang w:val="en-US"/>
        </w:rPr>
      </w:pPr>
      <w:r w:rsidRPr="004C6F61">
        <w:rPr>
          <w:rFonts w:ascii="Arial" w:hAnsi="Arial" w:cs="Arial"/>
          <w:lang w:val="en-US"/>
        </w:rPr>
        <w:t>Require the ABD to submit the summary of all prizes and winnings paid and charged against the PF and the summary of the payroll and/or commissions paid to sales representatives;</w:t>
      </w:r>
    </w:p>
    <w:p w14:paraId="47D0207C" w14:textId="77777777" w:rsidR="004C6F61" w:rsidRPr="004C6F61" w:rsidRDefault="004C6F61" w:rsidP="004C6F61">
      <w:pPr>
        <w:ind w:left="1620" w:hanging="360"/>
        <w:contextualSpacing/>
        <w:jc w:val="both"/>
        <w:rPr>
          <w:rFonts w:ascii="Arial" w:hAnsi="Arial" w:cs="Arial"/>
          <w:lang w:val="en-US"/>
        </w:rPr>
      </w:pPr>
    </w:p>
    <w:p w14:paraId="167B1ED9" w14:textId="77777777" w:rsidR="004C6F61" w:rsidRPr="004C6F61" w:rsidRDefault="004C6F61" w:rsidP="004C6F61">
      <w:pPr>
        <w:numPr>
          <w:ilvl w:val="0"/>
          <w:numId w:val="45"/>
        </w:numPr>
        <w:spacing w:after="0" w:line="240" w:lineRule="auto"/>
        <w:ind w:left="1620" w:hanging="810"/>
        <w:contextualSpacing/>
        <w:jc w:val="both"/>
        <w:rPr>
          <w:rFonts w:ascii="Arial" w:hAnsi="Arial" w:cs="Arial"/>
          <w:lang w:val="en-US"/>
        </w:rPr>
      </w:pPr>
      <w:r w:rsidRPr="004C6F61">
        <w:rPr>
          <w:rFonts w:ascii="Arial" w:hAnsi="Arial" w:cs="Arial"/>
          <w:lang w:val="en-US"/>
        </w:rPr>
        <w:t>Require the</w:t>
      </w:r>
      <w:r w:rsidR="00EF3B61">
        <w:rPr>
          <w:rFonts w:ascii="Arial" w:hAnsi="Arial" w:cs="Arial"/>
          <w:lang w:val="en-US"/>
        </w:rPr>
        <w:t xml:space="preserve"> </w:t>
      </w:r>
      <w:r w:rsidRPr="004C6F61">
        <w:rPr>
          <w:rFonts w:ascii="Arial" w:hAnsi="Arial" w:cs="Arial"/>
          <w:lang w:val="en-US"/>
        </w:rPr>
        <w:t>Authorized Agent Corporation</w:t>
      </w:r>
      <w:r w:rsidRPr="004C6F61" w:rsidDel="00040BB8">
        <w:rPr>
          <w:rFonts w:ascii="Arial" w:hAnsi="Arial" w:cs="Arial"/>
          <w:lang w:val="en-US"/>
        </w:rPr>
        <w:t xml:space="preserve"> </w:t>
      </w:r>
      <w:r w:rsidRPr="004C6F61">
        <w:rPr>
          <w:rFonts w:ascii="Arial" w:hAnsi="Arial" w:cs="Arial"/>
          <w:lang w:val="en-US"/>
        </w:rPr>
        <w:t>to issue Official Receipt pertaining to the commission from STL Operations paid by PCSO and use it as an attachment to the recorded Agent’s Commission Expense; and,</w:t>
      </w:r>
    </w:p>
    <w:p w14:paraId="0C5B3098" w14:textId="77777777" w:rsidR="004C6F61" w:rsidRPr="004C6F61" w:rsidRDefault="004C6F61" w:rsidP="004C6F61">
      <w:pPr>
        <w:ind w:left="1620" w:hanging="810"/>
        <w:contextualSpacing/>
        <w:rPr>
          <w:rFonts w:ascii="Arial" w:hAnsi="Arial" w:cs="Arial"/>
          <w:lang w:val="en-US"/>
        </w:rPr>
      </w:pPr>
    </w:p>
    <w:p w14:paraId="2163EED1" w14:textId="77777777" w:rsidR="004C6F61" w:rsidRPr="004C6F61" w:rsidRDefault="004C6F61" w:rsidP="004C6F61">
      <w:pPr>
        <w:numPr>
          <w:ilvl w:val="0"/>
          <w:numId w:val="45"/>
        </w:numPr>
        <w:spacing w:after="0" w:line="240" w:lineRule="auto"/>
        <w:ind w:left="1620" w:hanging="810"/>
        <w:contextualSpacing/>
        <w:jc w:val="both"/>
        <w:rPr>
          <w:rFonts w:ascii="Arial" w:hAnsi="Arial" w:cs="Arial"/>
          <w:lang w:val="en-US"/>
        </w:rPr>
      </w:pPr>
      <w:r w:rsidRPr="004C6F61">
        <w:rPr>
          <w:rFonts w:ascii="Arial" w:hAnsi="Arial" w:cs="Arial"/>
          <w:lang w:val="en-US"/>
        </w:rPr>
        <w:t>Ensure that the recorded expenses charged to STL PF are supported with complete documents evidencing the disbursement of fund</w:t>
      </w:r>
    </w:p>
    <w:p w14:paraId="11CD993A" w14:textId="77777777" w:rsidR="004C6F61" w:rsidRPr="004C6F61" w:rsidRDefault="004C6F61" w:rsidP="004C6F61">
      <w:pPr>
        <w:spacing w:after="0" w:line="240" w:lineRule="auto"/>
        <w:ind w:left="720"/>
        <w:jc w:val="both"/>
        <w:rPr>
          <w:rFonts w:ascii="Arial" w:hAnsi="Arial" w:cs="Arial"/>
          <w:bCs/>
          <w:lang w:val="en-US"/>
        </w:rPr>
      </w:pPr>
    </w:p>
    <w:p w14:paraId="177BFC9F" w14:textId="77777777" w:rsidR="004C6F61" w:rsidRPr="004C6F61" w:rsidRDefault="004C6F61" w:rsidP="00E20F8F">
      <w:pPr>
        <w:numPr>
          <w:ilvl w:val="0"/>
          <w:numId w:val="2"/>
        </w:numPr>
        <w:spacing w:after="0" w:line="240" w:lineRule="auto"/>
        <w:ind w:left="720"/>
        <w:jc w:val="both"/>
        <w:rPr>
          <w:rFonts w:ascii="Arial" w:hAnsi="Arial" w:cs="Arial"/>
          <w:bCs/>
          <w:lang w:val="en-US"/>
        </w:rPr>
      </w:pPr>
      <w:r w:rsidRPr="004C6F61">
        <w:rPr>
          <w:rFonts w:ascii="Arial" w:hAnsi="Arial" w:cs="Arial"/>
          <w:bCs/>
          <w:lang w:val="en-US"/>
        </w:rPr>
        <w:t>Deficiencies were noted in the grant and releases of the STL CF Share granted to the Philippine National Police (PNP) and the National Bureau of Investigation (NBI) amounting to P619.618 million in CYs 2017-2022 and P119.863 million in CYs 2019-2022, respectively, thus, affecting the evaluation and monitoring of the proper utilization and complete documentation of the funds.</w:t>
      </w:r>
    </w:p>
    <w:p w14:paraId="0A971C3C" w14:textId="77777777" w:rsidR="004C6F61" w:rsidRPr="004C6F61" w:rsidRDefault="004C6F61" w:rsidP="004C6F61">
      <w:pPr>
        <w:ind w:left="720"/>
        <w:contextualSpacing/>
        <w:jc w:val="both"/>
        <w:rPr>
          <w:rFonts w:ascii="Arial" w:hAnsi="Arial" w:cs="Arial"/>
          <w:bCs/>
          <w:lang w:val="en-US"/>
        </w:rPr>
      </w:pPr>
    </w:p>
    <w:p w14:paraId="6222CD50" w14:textId="77777777" w:rsidR="004C6F61" w:rsidRPr="004C6F61" w:rsidRDefault="004C6F61" w:rsidP="004C6F61">
      <w:pPr>
        <w:numPr>
          <w:ilvl w:val="0"/>
          <w:numId w:val="50"/>
        </w:numPr>
        <w:spacing w:after="0" w:line="240" w:lineRule="auto"/>
        <w:ind w:hanging="720"/>
        <w:jc w:val="both"/>
        <w:rPr>
          <w:rFonts w:ascii="Arial" w:hAnsi="Arial" w:cs="Arial"/>
          <w:bCs/>
          <w:lang w:val="en-US"/>
        </w:rPr>
      </w:pPr>
      <w:r w:rsidRPr="004C6F61">
        <w:rPr>
          <w:rFonts w:ascii="Arial" w:hAnsi="Arial" w:cs="Arial"/>
          <w:bCs/>
          <w:lang w:val="en-US"/>
        </w:rPr>
        <w:t>The lack of clear provisions in the Memorandum of Agreement (MOA) on the monitoring of the STL CF Shares granted to PNP and NBI, and the lack of proper dissemination of the copies of the MOA to the concerned PCSO departments resulted in the continuous release of the STL CF Share to PNP and NBI despite the absence of Fund Utilization Reports from the date of the execution of the MOA; and</w:t>
      </w:r>
    </w:p>
    <w:p w14:paraId="6C2B53A5" w14:textId="77777777" w:rsidR="004C6F61" w:rsidRPr="004C6F61" w:rsidRDefault="004C6F61" w:rsidP="004C6F61">
      <w:pPr>
        <w:ind w:left="1440"/>
        <w:contextualSpacing/>
        <w:jc w:val="both"/>
        <w:rPr>
          <w:rFonts w:ascii="Arial" w:hAnsi="Arial" w:cs="Arial"/>
          <w:bCs/>
          <w:lang w:val="en-US"/>
        </w:rPr>
      </w:pPr>
    </w:p>
    <w:p w14:paraId="5534DC1F" w14:textId="77777777" w:rsidR="004C6F61" w:rsidRPr="004C6F61" w:rsidRDefault="004C6F61" w:rsidP="004C6F61">
      <w:pPr>
        <w:numPr>
          <w:ilvl w:val="0"/>
          <w:numId w:val="50"/>
        </w:numPr>
        <w:spacing w:after="0" w:line="240" w:lineRule="auto"/>
        <w:ind w:hanging="720"/>
        <w:jc w:val="both"/>
        <w:rPr>
          <w:rFonts w:ascii="Arial" w:hAnsi="Arial" w:cs="Arial"/>
          <w:bCs/>
          <w:lang w:val="en-US"/>
        </w:rPr>
      </w:pPr>
      <w:r w:rsidRPr="004C6F61">
        <w:rPr>
          <w:rFonts w:ascii="Arial" w:hAnsi="Arial" w:cs="Arial"/>
          <w:bCs/>
          <w:lang w:val="en-US"/>
        </w:rPr>
        <w:t>The rate of the PNP STL CF Share provided in the MOA was still the old rate of 2.50 percent, instead of the new rate of 0.50 percent as approved per Board Resolution No. 0178 series 2020.</w:t>
      </w:r>
    </w:p>
    <w:p w14:paraId="67ED82C7" w14:textId="77777777" w:rsidR="004C6F61" w:rsidRPr="004C6F61" w:rsidRDefault="004C6F61" w:rsidP="004C6F61">
      <w:pPr>
        <w:spacing w:after="0" w:line="240" w:lineRule="auto"/>
        <w:ind w:left="1440"/>
        <w:jc w:val="both"/>
        <w:rPr>
          <w:rFonts w:ascii="Arial" w:hAnsi="Arial" w:cs="Arial"/>
          <w:bCs/>
          <w:lang w:val="en-US"/>
        </w:rPr>
      </w:pPr>
    </w:p>
    <w:p w14:paraId="1DBEED41" w14:textId="77777777" w:rsidR="004C6F61" w:rsidRPr="004C6F61" w:rsidRDefault="004C6F61" w:rsidP="00E20F8F">
      <w:pPr>
        <w:numPr>
          <w:ilvl w:val="1"/>
          <w:numId w:val="48"/>
        </w:numPr>
        <w:spacing w:after="0" w:line="240" w:lineRule="auto"/>
        <w:ind w:left="720" w:hanging="540"/>
        <w:jc w:val="both"/>
        <w:rPr>
          <w:rFonts w:ascii="Arial" w:hAnsi="Arial" w:cs="Arial"/>
          <w:bCs/>
          <w:lang w:val="en-US"/>
        </w:rPr>
      </w:pPr>
      <w:r w:rsidRPr="004C6F61">
        <w:rPr>
          <w:rFonts w:ascii="Arial" w:hAnsi="Arial" w:cs="Arial"/>
        </w:rPr>
        <w:t xml:space="preserve">We recommended Management to: </w:t>
      </w:r>
    </w:p>
    <w:p w14:paraId="40A08BBD" w14:textId="77777777" w:rsidR="004C6F61" w:rsidRPr="004C6F61" w:rsidRDefault="004C6F61" w:rsidP="004C6F61">
      <w:pPr>
        <w:ind w:left="1440"/>
        <w:contextualSpacing/>
        <w:jc w:val="both"/>
        <w:rPr>
          <w:rFonts w:ascii="Arial" w:hAnsi="Arial" w:cs="Arial"/>
          <w:bCs/>
          <w:lang w:val="en-US"/>
        </w:rPr>
      </w:pPr>
    </w:p>
    <w:p w14:paraId="6A1DA32E" w14:textId="77777777" w:rsidR="004C6F61" w:rsidRPr="004C6F61" w:rsidRDefault="004C6F61" w:rsidP="004C6F61">
      <w:pPr>
        <w:numPr>
          <w:ilvl w:val="0"/>
          <w:numId w:val="46"/>
        </w:numPr>
        <w:spacing w:after="0" w:line="240" w:lineRule="auto"/>
        <w:ind w:left="1440" w:hanging="720"/>
        <w:contextualSpacing/>
        <w:jc w:val="both"/>
        <w:rPr>
          <w:rFonts w:ascii="Arial" w:hAnsi="Arial" w:cs="Arial"/>
          <w:shd w:val="clear" w:color="auto" w:fill="FFFFFF"/>
          <w:lang w:val="en-US"/>
        </w:rPr>
      </w:pPr>
      <w:r w:rsidRPr="004C6F61">
        <w:rPr>
          <w:rFonts w:ascii="Arial" w:hAnsi="Arial" w:cs="Arial"/>
          <w:shd w:val="clear" w:color="auto" w:fill="FFFFFF"/>
          <w:lang w:val="en-US"/>
        </w:rPr>
        <w:t>Direct the ABD and the Charity Sector to strictly monitor the releases and utilization of the STL CF Share granted to PNP and NBI by requiring the submission of the Fund Utilization Reports for the previously transferred funds prior to the release of the additional fund and the submission of the Fund Utilization Reports and/or required reports within the period stipulated in the MOA;</w:t>
      </w:r>
    </w:p>
    <w:p w14:paraId="0E0A0D88" w14:textId="77777777" w:rsidR="004C6F61" w:rsidRPr="004C6F61" w:rsidRDefault="004C6F61" w:rsidP="004C6F61">
      <w:pPr>
        <w:ind w:left="1440" w:hanging="720"/>
        <w:contextualSpacing/>
        <w:jc w:val="both"/>
        <w:rPr>
          <w:rFonts w:ascii="Arial" w:hAnsi="Arial" w:cs="Arial"/>
          <w:shd w:val="clear" w:color="auto" w:fill="FFFFFF"/>
          <w:lang w:val="en-US"/>
        </w:rPr>
      </w:pPr>
    </w:p>
    <w:p w14:paraId="32B5CA83" w14:textId="77777777" w:rsidR="004C6F61" w:rsidRPr="004C6F61" w:rsidRDefault="004C6F61" w:rsidP="004C6F61">
      <w:pPr>
        <w:numPr>
          <w:ilvl w:val="0"/>
          <w:numId w:val="46"/>
        </w:numPr>
        <w:spacing w:after="0" w:line="240" w:lineRule="auto"/>
        <w:ind w:left="1440" w:hanging="720"/>
        <w:contextualSpacing/>
        <w:jc w:val="both"/>
        <w:rPr>
          <w:rFonts w:ascii="Arial" w:hAnsi="Arial" w:cs="Arial"/>
          <w:shd w:val="clear" w:color="auto" w:fill="FFFFFF"/>
          <w:lang w:val="en-US"/>
        </w:rPr>
      </w:pPr>
      <w:r w:rsidRPr="004C6F61">
        <w:rPr>
          <w:rFonts w:ascii="Arial" w:hAnsi="Arial" w:cs="Arial"/>
          <w:shd w:val="clear" w:color="auto" w:fill="FFFFFF"/>
          <w:lang w:val="en-US"/>
        </w:rPr>
        <w:lastRenderedPageBreak/>
        <w:t>For the STL CF Share granted to PNP and NBI amounting to P619.618 million in CYs 2017-2022 and P119.863 million in CYs 2019-2022, respectively, require the immediate submission of the Fund Utilization Reports, otherwise, enforce the remedies provided in the MOA;</w:t>
      </w:r>
    </w:p>
    <w:p w14:paraId="0326CE99" w14:textId="77777777" w:rsidR="004C6F61" w:rsidRPr="004C6F61" w:rsidRDefault="004C6F61" w:rsidP="004C6F61">
      <w:pPr>
        <w:spacing w:after="0" w:line="240" w:lineRule="auto"/>
        <w:ind w:left="1440" w:hanging="720"/>
        <w:jc w:val="both"/>
        <w:rPr>
          <w:rFonts w:ascii="Arial" w:eastAsia="Times New Roman" w:hAnsi="Arial" w:cs="Arial"/>
          <w:sz w:val="24"/>
          <w:szCs w:val="24"/>
          <w:shd w:val="clear" w:color="auto" w:fill="FFFFFF"/>
          <w:lang w:val="en-US"/>
        </w:rPr>
      </w:pPr>
    </w:p>
    <w:p w14:paraId="02D0703E" w14:textId="77777777" w:rsidR="004C6F61" w:rsidRPr="004C6F61" w:rsidRDefault="004C6F61" w:rsidP="004C6F61">
      <w:pPr>
        <w:numPr>
          <w:ilvl w:val="0"/>
          <w:numId w:val="46"/>
        </w:numPr>
        <w:spacing w:after="0" w:line="240" w:lineRule="auto"/>
        <w:ind w:left="1440" w:hanging="720"/>
        <w:contextualSpacing/>
        <w:jc w:val="both"/>
        <w:rPr>
          <w:rFonts w:ascii="Arial" w:hAnsi="Arial" w:cs="Arial"/>
          <w:shd w:val="clear" w:color="auto" w:fill="FFFFFF"/>
          <w:lang w:val="en-US"/>
        </w:rPr>
      </w:pPr>
      <w:r w:rsidRPr="004C6F61">
        <w:rPr>
          <w:rFonts w:ascii="Arial" w:hAnsi="Arial" w:cs="Arial"/>
          <w:shd w:val="clear" w:color="auto" w:fill="FFFFFF"/>
          <w:lang w:val="en-US"/>
        </w:rPr>
        <w:t>Consider revision of the STL implementing guidelines to include the following and use the same to amend the MOA:</w:t>
      </w:r>
    </w:p>
    <w:p w14:paraId="116EB7E5" w14:textId="77777777" w:rsidR="004C6F61" w:rsidRPr="004C6F61" w:rsidRDefault="004C6F61" w:rsidP="004C6F61">
      <w:pPr>
        <w:spacing w:after="0" w:line="240" w:lineRule="auto"/>
        <w:ind w:left="1440" w:hanging="810"/>
        <w:jc w:val="both"/>
        <w:rPr>
          <w:rFonts w:ascii="Arial" w:eastAsia="Times New Roman" w:hAnsi="Arial" w:cs="Arial"/>
          <w:sz w:val="24"/>
          <w:szCs w:val="24"/>
          <w:shd w:val="clear" w:color="auto" w:fill="FFFFFF"/>
          <w:lang w:val="en-US"/>
        </w:rPr>
      </w:pPr>
    </w:p>
    <w:p w14:paraId="5F918D99" w14:textId="77777777" w:rsidR="004C6F61" w:rsidRPr="004C6F61" w:rsidRDefault="004C6F61" w:rsidP="004C6F61">
      <w:pPr>
        <w:numPr>
          <w:ilvl w:val="1"/>
          <w:numId w:val="46"/>
        </w:numPr>
        <w:spacing w:after="0" w:line="240" w:lineRule="auto"/>
        <w:ind w:left="2070"/>
        <w:contextualSpacing/>
        <w:jc w:val="both"/>
        <w:rPr>
          <w:rFonts w:ascii="Arial" w:hAnsi="Arial" w:cs="Arial"/>
          <w:shd w:val="clear" w:color="auto" w:fill="FFFFFF"/>
          <w:lang w:val="en-US"/>
        </w:rPr>
      </w:pPr>
      <w:r w:rsidRPr="004C6F61">
        <w:rPr>
          <w:rFonts w:ascii="Arial" w:hAnsi="Arial" w:cs="Arial"/>
          <w:shd w:val="clear" w:color="auto" w:fill="FFFFFF"/>
          <w:lang w:val="en-US"/>
        </w:rPr>
        <w:t>To whom the Fund Utilization Reports shall be submitted to establish accountabilities on the monitoring of the timely and complete submission of the required Fund Utilization Reports;</w:t>
      </w:r>
    </w:p>
    <w:p w14:paraId="6DF20EC0" w14:textId="77777777" w:rsidR="004C6F61" w:rsidRPr="004C6F61" w:rsidRDefault="004C6F61" w:rsidP="004C6F61">
      <w:pPr>
        <w:ind w:left="2070" w:hanging="360"/>
        <w:contextualSpacing/>
        <w:jc w:val="both"/>
        <w:rPr>
          <w:rFonts w:ascii="Arial" w:hAnsi="Arial" w:cs="Arial"/>
          <w:shd w:val="clear" w:color="auto" w:fill="FFFFFF"/>
          <w:lang w:val="en-US"/>
        </w:rPr>
      </w:pPr>
    </w:p>
    <w:p w14:paraId="7A2CC027" w14:textId="77777777" w:rsidR="004C6F61" w:rsidRPr="004C6F61" w:rsidRDefault="004C6F61" w:rsidP="004C6F61">
      <w:pPr>
        <w:numPr>
          <w:ilvl w:val="1"/>
          <w:numId w:val="46"/>
        </w:numPr>
        <w:spacing w:after="0" w:line="240" w:lineRule="auto"/>
        <w:ind w:left="2070"/>
        <w:contextualSpacing/>
        <w:jc w:val="both"/>
        <w:rPr>
          <w:rFonts w:ascii="Arial" w:hAnsi="Arial" w:cs="Arial"/>
          <w:shd w:val="clear" w:color="auto" w:fill="FFFFFF"/>
          <w:lang w:val="en-US"/>
        </w:rPr>
      </w:pPr>
      <w:r w:rsidRPr="004C6F61">
        <w:rPr>
          <w:rFonts w:ascii="Arial" w:hAnsi="Arial" w:cs="Arial"/>
          <w:shd w:val="clear" w:color="auto" w:fill="FFFFFF"/>
          <w:lang w:val="en-US"/>
        </w:rPr>
        <w:t>To issue guidelines on the utilization of the grant of financial assistance to PNP and NBI;</w:t>
      </w:r>
    </w:p>
    <w:p w14:paraId="21D4814B" w14:textId="77777777" w:rsidR="004C6F61" w:rsidRPr="004C6F61" w:rsidRDefault="004C6F61" w:rsidP="004C6F61">
      <w:pPr>
        <w:ind w:left="2070" w:hanging="360"/>
        <w:contextualSpacing/>
        <w:jc w:val="both"/>
        <w:rPr>
          <w:rFonts w:ascii="Arial" w:hAnsi="Arial" w:cs="Arial"/>
          <w:shd w:val="clear" w:color="auto" w:fill="FFFFFF"/>
          <w:lang w:val="en-US"/>
        </w:rPr>
      </w:pPr>
    </w:p>
    <w:p w14:paraId="7070EE17" w14:textId="77777777" w:rsidR="004C6F61" w:rsidRPr="004C6F61" w:rsidRDefault="004C6F61" w:rsidP="004C6F61">
      <w:pPr>
        <w:numPr>
          <w:ilvl w:val="1"/>
          <w:numId w:val="46"/>
        </w:numPr>
        <w:spacing w:after="0" w:line="240" w:lineRule="auto"/>
        <w:ind w:left="2070"/>
        <w:contextualSpacing/>
        <w:jc w:val="both"/>
        <w:rPr>
          <w:rFonts w:ascii="Arial" w:hAnsi="Arial" w:cs="Arial"/>
          <w:shd w:val="clear" w:color="auto" w:fill="FFFFFF"/>
          <w:lang w:val="en-US"/>
        </w:rPr>
      </w:pPr>
      <w:r w:rsidRPr="004C6F61">
        <w:rPr>
          <w:rFonts w:ascii="Arial" w:hAnsi="Arial" w:cs="Arial"/>
          <w:shd w:val="clear" w:color="auto" w:fill="FFFFFF"/>
          <w:lang w:val="en-US"/>
        </w:rPr>
        <w:t>To change the rate of the PNP STL CF Share in accordance with the latest approved STL Revenue Allocation.</w:t>
      </w:r>
    </w:p>
    <w:p w14:paraId="376ACC03" w14:textId="77777777" w:rsidR="004C6F61" w:rsidRPr="004C6F61" w:rsidRDefault="004C6F61" w:rsidP="004C6F61">
      <w:pPr>
        <w:spacing w:after="0" w:line="240" w:lineRule="auto"/>
        <w:ind w:left="720"/>
        <w:jc w:val="both"/>
        <w:rPr>
          <w:rFonts w:ascii="Arial" w:hAnsi="Arial" w:cs="Arial"/>
          <w:bCs/>
          <w:lang w:val="en-US"/>
        </w:rPr>
      </w:pPr>
    </w:p>
    <w:p w14:paraId="1721590C" w14:textId="77777777" w:rsidR="004C6F61" w:rsidRPr="004C6F61" w:rsidRDefault="004C6F61" w:rsidP="00E20F8F">
      <w:pPr>
        <w:numPr>
          <w:ilvl w:val="0"/>
          <w:numId w:val="48"/>
        </w:numPr>
        <w:spacing w:after="0" w:line="240" w:lineRule="auto"/>
        <w:ind w:left="720" w:hanging="540"/>
        <w:jc w:val="both"/>
        <w:rPr>
          <w:rFonts w:ascii="Arial" w:hAnsi="Arial" w:cs="Arial"/>
          <w:bCs/>
          <w:lang w:val="en-US"/>
        </w:rPr>
      </w:pPr>
      <w:r w:rsidRPr="004C6F61">
        <w:rPr>
          <w:rFonts w:ascii="Arial" w:hAnsi="Arial" w:cs="Arial"/>
          <w:shd w:val="clear" w:color="auto" w:fill="FFFFFF"/>
          <w:lang w:val="en-US"/>
        </w:rPr>
        <w:t>Lotto and STL CF shares granted to 13 out of the 17 Local Government Units in the National Capital Region totaling P166.245 million for CYs 2021 to 2022 were released despite the absence of Memorandum of Agreement (MOA) for the initial releases and Fund Utilization Reports for subsequent releases, thereby affecting the faithful adherence by the parties of their obligations under Executive Order 357-A series 1996, and the MOA, and the determination of the efficient and effective utilization of the fund.</w:t>
      </w:r>
    </w:p>
    <w:p w14:paraId="7561DF8C" w14:textId="77777777" w:rsidR="004C6F61" w:rsidRPr="004C6F61" w:rsidRDefault="004C6F61" w:rsidP="004C6F61">
      <w:pPr>
        <w:spacing w:after="0" w:line="240" w:lineRule="auto"/>
        <w:ind w:left="720"/>
        <w:jc w:val="both"/>
        <w:rPr>
          <w:rFonts w:ascii="Arial" w:hAnsi="Arial" w:cs="Arial"/>
          <w:bCs/>
          <w:lang w:val="en-US"/>
        </w:rPr>
      </w:pPr>
    </w:p>
    <w:p w14:paraId="46C9F4EC" w14:textId="77777777" w:rsidR="004C6F61" w:rsidRPr="004C6F61" w:rsidRDefault="004C6F61" w:rsidP="00E20F8F">
      <w:pPr>
        <w:numPr>
          <w:ilvl w:val="1"/>
          <w:numId w:val="48"/>
        </w:numPr>
        <w:spacing w:after="0" w:line="240" w:lineRule="auto"/>
        <w:ind w:left="720" w:hanging="540"/>
        <w:jc w:val="both"/>
        <w:rPr>
          <w:rFonts w:ascii="Arial" w:hAnsi="Arial" w:cs="Arial"/>
          <w:bCs/>
          <w:lang w:val="en-US"/>
        </w:rPr>
      </w:pPr>
      <w:r w:rsidRPr="004C6F61">
        <w:rPr>
          <w:rFonts w:ascii="Arial" w:hAnsi="Arial" w:cs="Arial"/>
        </w:rPr>
        <w:t xml:space="preserve">We recommended Management </w:t>
      </w:r>
      <w:r w:rsidRPr="004C6F61">
        <w:rPr>
          <w:rFonts w:ascii="Arial" w:hAnsi="Arial" w:cs="Arial"/>
          <w:bCs/>
          <w:lang w:val="en-US"/>
        </w:rPr>
        <w:t>ensure that the Lotto and STL CF shares granted to LGUs are covered with MOA for initial releases and Fund Utilization Report for subsequent releases and that the remedies available therein for the non-compliance thereof are enforced. We also recommend that the receipt of the grant other than the collecting officer be supported by proper authority and government-issued ID, as required.</w:t>
      </w:r>
    </w:p>
    <w:p w14:paraId="4CC5CD56" w14:textId="77777777" w:rsidR="005C25FF" w:rsidRDefault="005C25FF" w:rsidP="00784E0F">
      <w:pPr>
        <w:spacing w:after="0" w:line="240" w:lineRule="auto"/>
        <w:ind w:left="1260"/>
        <w:jc w:val="both"/>
        <w:rPr>
          <w:rFonts w:ascii="Arial" w:hAnsi="Arial" w:cs="Arial"/>
          <w:bCs/>
        </w:rPr>
      </w:pPr>
    </w:p>
    <w:p w14:paraId="5B6340A5" w14:textId="77777777" w:rsidR="004A3A50" w:rsidRPr="00784E0F" w:rsidRDefault="004A3A50" w:rsidP="00784E0F">
      <w:pPr>
        <w:spacing w:after="0" w:line="240" w:lineRule="auto"/>
        <w:ind w:left="1260"/>
        <w:jc w:val="both"/>
        <w:rPr>
          <w:rFonts w:ascii="Arial" w:hAnsi="Arial" w:cs="Arial"/>
          <w:bCs/>
        </w:rPr>
      </w:pPr>
    </w:p>
    <w:p w14:paraId="09B3E312" w14:textId="77777777" w:rsidR="00B4130A" w:rsidRDefault="00B4130A" w:rsidP="00B4130A">
      <w:pPr>
        <w:pStyle w:val="ListParagraph"/>
        <w:ind w:left="0"/>
        <w:contextualSpacing/>
        <w:jc w:val="both"/>
        <w:rPr>
          <w:rFonts w:ascii="Arial" w:hAnsi="Arial" w:cs="Arial"/>
          <w:b/>
          <w:sz w:val="22"/>
          <w:szCs w:val="22"/>
        </w:rPr>
      </w:pPr>
      <w:r>
        <w:rPr>
          <w:rFonts w:ascii="Arial" w:hAnsi="Arial" w:cs="Arial"/>
          <w:b/>
          <w:sz w:val="22"/>
          <w:szCs w:val="22"/>
        </w:rPr>
        <w:t xml:space="preserve">SUMMARY OF TOTAL SUSPENSIONS, DISALLOWANCES AND CHARGES </w:t>
      </w:r>
    </w:p>
    <w:p w14:paraId="551AD6F2" w14:textId="77777777" w:rsidR="00B4130A" w:rsidRDefault="00B4130A" w:rsidP="00B4130A">
      <w:pPr>
        <w:pStyle w:val="ListParagraph"/>
        <w:ind w:left="0"/>
        <w:contextualSpacing/>
        <w:jc w:val="both"/>
        <w:rPr>
          <w:rFonts w:ascii="Arial" w:hAnsi="Arial" w:cs="Arial"/>
          <w:b/>
          <w:sz w:val="22"/>
          <w:szCs w:val="22"/>
        </w:rPr>
      </w:pPr>
    </w:p>
    <w:p w14:paraId="01B4DE9B" w14:textId="77777777" w:rsidR="00B4130A" w:rsidRDefault="00B4130A" w:rsidP="00B4130A">
      <w:pPr>
        <w:spacing w:after="0" w:line="240" w:lineRule="auto"/>
        <w:jc w:val="both"/>
        <w:rPr>
          <w:rFonts w:ascii="Arial" w:eastAsia="Arial" w:hAnsi="Arial" w:cs="Arial"/>
        </w:rPr>
      </w:pPr>
      <w:r>
        <w:rPr>
          <w:rFonts w:ascii="Arial" w:hAnsi="Arial" w:cs="Arial"/>
          <w:color w:val="000000" w:themeColor="text1"/>
        </w:rPr>
        <w:t>The unsettled audit suspensions and disal</w:t>
      </w:r>
      <w:r w:rsidR="005C25FF">
        <w:rPr>
          <w:rFonts w:ascii="Arial" w:hAnsi="Arial" w:cs="Arial"/>
          <w:color w:val="000000" w:themeColor="text1"/>
        </w:rPr>
        <w:t>lowances as of December 31, 2022</w:t>
      </w:r>
      <w:r>
        <w:rPr>
          <w:rFonts w:ascii="Arial" w:hAnsi="Arial" w:cs="Arial"/>
          <w:color w:val="000000" w:themeColor="text1"/>
        </w:rPr>
        <w:t xml:space="preserve"> amounted to P87.197 million and P2.</w:t>
      </w:r>
      <w:r w:rsidR="00010BF3">
        <w:rPr>
          <w:rFonts w:ascii="Arial" w:hAnsi="Arial" w:cs="Arial"/>
          <w:color w:val="000000" w:themeColor="text1"/>
        </w:rPr>
        <w:t>691</w:t>
      </w:r>
      <w:r>
        <w:rPr>
          <w:rFonts w:ascii="Arial" w:hAnsi="Arial" w:cs="Arial"/>
          <w:color w:val="000000" w:themeColor="text1"/>
        </w:rPr>
        <w:t xml:space="preserve"> billion,</w:t>
      </w:r>
      <w:r w:rsidR="0097667F">
        <w:rPr>
          <w:rFonts w:ascii="Arial" w:hAnsi="Arial" w:cs="Arial"/>
          <w:color w:val="000000" w:themeColor="text1"/>
        </w:rPr>
        <w:t xml:space="preserve"> respectively,</w:t>
      </w:r>
      <w:r>
        <w:rPr>
          <w:rFonts w:ascii="Arial" w:hAnsi="Arial" w:cs="Arial"/>
          <w:color w:val="000000" w:themeColor="text1"/>
        </w:rPr>
        <w:t xml:space="preserve"> and the details and status thereof are shown in Part IV-Annex A of this Report</w:t>
      </w:r>
      <w:r>
        <w:rPr>
          <w:rFonts w:ascii="Arial" w:hAnsi="Arial" w:cs="Arial"/>
        </w:rPr>
        <w:t xml:space="preserve">. </w:t>
      </w:r>
      <w:r>
        <w:rPr>
          <w:rFonts w:ascii="Arial" w:hAnsi="Arial" w:cs="Arial"/>
          <w:color w:val="000000" w:themeColor="text1"/>
        </w:rPr>
        <w:t>There was no Notice of Charge issued during the year</w:t>
      </w:r>
      <w:r>
        <w:rPr>
          <w:rFonts w:ascii="Arial" w:eastAsia="Arial" w:hAnsi="Arial" w:cs="Arial"/>
        </w:rPr>
        <w:t>.</w:t>
      </w:r>
    </w:p>
    <w:p w14:paraId="12CC87E0" w14:textId="77777777" w:rsidR="00B4130A" w:rsidRDefault="00B4130A" w:rsidP="00B4130A">
      <w:pPr>
        <w:spacing w:after="0" w:line="240" w:lineRule="auto"/>
        <w:jc w:val="both"/>
        <w:rPr>
          <w:rFonts w:ascii="Arial" w:hAnsi="Arial" w:cs="Arial"/>
          <w:b/>
        </w:rPr>
      </w:pPr>
    </w:p>
    <w:p w14:paraId="4B854C42" w14:textId="77777777" w:rsidR="00B4130A" w:rsidRDefault="00B4130A" w:rsidP="00B4130A">
      <w:pPr>
        <w:spacing w:after="0" w:line="240" w:lineRule="auto"/>
        <w:jc w:val="both"/>
        <w:rPr>
          <w:rFonts w:ascii="Arial" w:hAnsi="Arial" w:cs="Arial"/>
          <w:b/>
        </w:rPr>
      </w:pPr>
    </w:p>
    <w:p w14:paraId="53CB4D14" w14:textId="77777777" w:rsidR="00B4130A" w:rsidRDefault="00B4130A" w:rsidP="00B4130A">
      <w:pPr>
        <w:spacing w:after="0" w:line="240" w:lineRule="auto"/>
        <w:jc w:val="both"/>
        <w:rPr>
          <w:rFonts w:ascii="Arial" w:hAnsi="Arial" w:cs="Arial"/>
          <w:b/>
        </w:rPr>
      </w:pPr>
      <w:r>
        <w:rPr>
          <w:rFonts w:ascii="Arial" w:hAnsi="Arial" w:cs="Arial"/>
          <w:b/>
        </w:rPr>
        <w:t>STATUS OF IMPLEMENTATION OF PRIOR YEAR’S AUDIT RECOMMENDATIONS</w:t>
      </w:r>
    </w:p>
    <w:p w14:paraId="3958CE95" w14:textId="77777777" w:rsidR="00B4130A" w:rsidRDefault="00B4130A" w:rsidP="00B4130A">
      <w:pPr>
        <w:spacing w:after="0" w:line="240" w:lineRule="auto"/>
        <w:jc w:val="both"/>
        <w:rPr>
          <w:rFonts w:ascii="Arial" w:hAnsi="Arial" w:cs="Arial"/>
          <w:b/>
        </w:rPr>
      </w:pPr>
    </w:p>
    <w:p w14:paraId="1EFA0D90" w14:textId="77777777" w:rsidR="00B4130A" w:rsidRDefault="005C25FF" w:rsidP="00B4130A">
      <w:pPr>
        <w:spacing w:after="0" w:line="240" w:lineRule="auto"/>
        <w:jc w:val="both"/>
        <w:rPr>
          <w:rFonts w:ascii="Arial" w:hAnsi="Arial" w:cs="Arial"/>
        </w:rPr>
      </w:pPr>
      <w:r>
        <w:rPr>
          <w:rFonts w:ascii="Arial" w:hAnsi="Arial" w:cs="Arial"/>
        </w:rPr>
        <w:t>Out of the 54</w:t>
      </w:r>
      <w:r w:rsidR="00B4130A">
        <w:rPr>
          <w:rFonts w:ascii="Arial" w:hAnsi="Arial" w:cs="Arial"/>
        </w:rPr>
        <w:t xml:space="preserve"> audit recommendations embodied in the previous year</w:t>
      </w:r>
      <w:r w:rsidR="00AC421A">
        <w:rPr>
          <w:rFonts w:ascii="Arial" w:hAnsi="Arial" w:cs="Arial"/>
        </w:rPr>
        <w:t xml:space="preserve">’s Annual Audit Report, </w:t>
      </w:r>
      <w:r>
        <w:rPr>
          <w:rFonts w:ascii="Arial" w:hAnsi="Arial" w:cs="Arial"/>
        </w:rPr>
        <w:t>33</w:t>
      </w:r>
      <w:r w:rsidR="000507F5">
        <w:rPr>
          <w:rFonts w:ascii="Arial" w:hAnsi="Arial" w:cs="Arial"/>
        </w:rPr>
        <w:t xml:space="preserve"> we</w:t>
      </w:r>
      <w:r w:rsidR="00411DE9">
        <w:rPr>
          <w:rFonts w:ascii="Arial" w:hAnsi="Arial" w:cs="Arial"/>
        </w:rPr>
        <w:t xml:space="preserve">re </w:t>
      </w:r>
      <w:r>
        <w:rPr>
          <w:rFonts w:ascii="Arial" w:hAnsi="Arial" w:cs="Arial"/>
        </w:rPr>
        <w:t>implemented, 19</w:t>
      </w:r>
      <w:r w:rsidR="00B4130A">
        <w:rPr>
          <w:rFonts w:ascii="Arial" w:hAnsi="Arial" w:cs="Arial"/>
        </w:rPr>
        <w:t xml:space="preserve"> were partially implemented and </w:t>
      </w:r>
      <w:r>
        <w:rPr>
          <w:rFonts w:ascii="Arial" w:hAnsi="Arial" w:cs="Arial"/>
        </w:rPr>
        <w:t>two</w:t>
      </w:r>
      <w:r w:rsidR="00AC421A">
        <w:rPr>
          <w:rFonts w:ascii="Arial" w:hAnsi="Arial" w:cs="Arial"/>
        </w:rPr>
        <w:t xml:space="preserve"> </w:t>
      </w:r>
      <w:r w:rsidR="000507F5">
        <w:rPr>
          <w:rFonts w:ascii="Arial" w:hAnsi="Arial" w:cs="Arial"/>
        </w:rPr>
        <w:t>were</w:t>
      </w:r>
      <w:r w:rsidR="00B4130A">
        <w:rPr>
          <w:rFonts w:ascii="Arial" w:hAnsi="Arial" w:cs="Arial"/>
        </w:rPr>
        <w:t xml:space="preserve"> not implemented. Details are presented in Part III of this Report.</w:t>
      </w:r>
    </w:p>
    <w:p w14:paraId="79E70235" w14:textId="77777777" w:rsidR="00861054" w:rsidRDefault="00861054"/>
    <w:sectPr w:rsidR="00861054" w:rsidSect="009A555D">
      <w:footerReference w:type="default" r:id="rId7"/>
      <w:pgSz w:w="12240" w:h="15840" w:code="1"/>
      <w:pgMar w:top="1440" w:right="1440" w:bottom="1440" w:left="1440" w:header="720" w:footer="720" w:gutter="720"/>
      <w:pgNumType w:fmt="low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B4F71" w14:textId="77777777" w:rsidR="005C18A2" w:rsidRDefault="005C18A2" w:rsidP="00A51FAB">
      <w:pPr>
        <w:spacing w:after="0" w:line="240" w:lineRule="auto"/>
      </w:pPr>
      <w:r>
        <w:separator/>
      </w:r>
    </w:p>
  </w:endnote>
  <w:endnote w:type="continuationSeparator" w:id="0">
    <w:p w14:paraId="3CB76C2A" w14:textId="77777777" w:rsidR="005C18A2" w:rsidRDefault="005C18A2" w:rsidP="00A51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799130"/>
      <w:docPartObj>
        <w:docPartGallery w:val="Page Numbers (Bottom of Page)"/>
        <w:docPartUnique/>
      </w:docPartObj>
    </w:sdtPr>
    <w:sdtEndPr>
      <w:rPr>
        <w:rFonts w:ascii="Arial" w:hAnsi="Arial" w:cs="Arial"/>
        <w:noProof/>
        <w:sz w:val="20"/>
        <w:szCs w:val="20"/>
      </w:rPr>
    </w:sdtEndPr>
    <w:sdtContent>
      <w:p w14:paraId="718821AB" w14:textId="77777777" w:rsidR="00F52CAD" w:rsidRPr="00F52CAD" w:rsidRDefault="00F52CAD">
        <w:pPr>
          <w:pStyle w:val="Footer"/>
          <w:jc w:val="right"/>
          <w:rPr>
            <w:rFonts w:ascii="Arial" w:hAnsi="Arial" w:cs="Arial"/>
            <w:sz w:val="20"/>
            <w:szCs w:val="20"/>
          </w:rPr>
        </w:pPr>
        <w:r w:rsidRPr="00F52CAD">
          <w:rPr>
            <w:rFonts w:ascii="Arial" w:hAnsi="Arial" w:cs="Arial"/>
            <w:sz w:val="20"/>
            <w:szCs w:val="20"/>
          </w:rPr>
          <w:fldChar w:fldCharType="begin"/>
        </w:r>
        <w:r w:rsidRPr="00F52CAD">
          <w:rPr>
            <w:rFonts w:ascii="Arial" w:hAnsi="Arial" w:cs="Arial"/>
            <w:sz w:val="20"/>
            <w:szCs w:val="20"/>
          </w:rPr>
          <w:instrText xml:space="preserve"> PAGE   \* MERGEFORMAT </w:instrText>
        </w:r>
        <w:r w:rsidRPr="00F52CAD">
          <w:rPr>
            <w:rFonts w:ascii="Arial" w:hAnsi="Arial" w:cs="Arial"/>
            <w:sz w:val="20"/>
            <w:szCs w:val="20"/>
          </w:rPr>
          <w:fldChar w:fldCharType="separate"/>
        </w:r>
        <w:r w:rsidR="00EF3B61">
          <w:rPr>
            <w:rFonts w:ascii="Arial" w:hAnsi="Arial" w:cs="Arial"/>
            <w:noProof/>
            <w:sz w:val="20"/>
            <w:szCs w:val="20"/>
          </w:rPr>
          <w:t>vii</w:t>
        </w:r>
        <w:r w:rsidRPr="00F52CAD">
          <w:rPr>
            <w:rFonts w:ascii="Arial" w:hAnsi="Arial" w:cs="Arial"/>
            <w:noProof/>
            <w:sz w:val="20"/>
            <w:szCs w:val="20"/>
          </w:rPr>
          <w:fldChar w:fldCharType="end"/>
        </w:r>
      </w:p>
    </w:sdtContent>
  </w:sdt>
  <w:p w14:paraId="0E808B58" w14:textId="77777777" w:rsidR="00A51FAB" w:rsidRPr="009A555D" w:rsidRDefault="00A51FAB" w:rsidP="009A555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CB499" w14:textId="77777777" w:rsidR="005C18A2" w:rsidRDefault="005C18A2" w:rsidP="00A51FAB">
      <w:pPr>
        <w:spacing w:after="0" w:line="240" w:lineRule="auto"/>
      </w:pPr>
      <w:r>
        <w:separator/>
      </w:r>
    </w:p>
  </w:footnote>
  <w:footnote w:type="continuationSeparator" w:id="0">
    <w:p w14:paraId="0D78E346" w14:textId="77777777" w:rsidR="005C18A2" w:rsidRDefault="005C18A2" w:rsidP="00A51F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7F94"/>
    <w:multiLevelType w:val="multilevel"/>
    <w:tmpl w:val="6238522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5308C9"/>
    <w:multiLevelType w:val="hybridMultilevel"/>
    <w:tmpl w:val="E0B2CD22"/>
    <w:lvl w:ilvl="0" w:tplc="307A29B6">
      <w:start w:val="1"/>
      <w:numFmt w:val="lowerLetter"/>
      <w:lvlText w:val="%1."/>
      <w:lvlJc w:val="left"/>
      <w:pPr>
        <w:ind w:left="2160" w:hanging="360"/>
      </w:pPr>
      <w:rPr>
        <w:rFonts w:hint="default"/>
        <w:b w:val="0"/>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 w15:restartNumberingAfterBreak="0">
    <w:nsid w:val="01607FAA"/>
    <w:multiLevelType w:val="multilevel"/>
    <w:tmpl w:val="DAA44D5C"/>
    <w:lvl w:ilvl="0">
      <w:start w:val="7"/>
      <w:numFmt w:val="decimal"/>
      <w:lvlText w:val="%1."/>
      <w:lvlJc w:val="left"/>
      <w:pPr>
        <w:ind w:left="1069" w:hanging="360"/>
      </w:pPr>
      <w:rPr>
        <w:rFonts w:hint="default"/>
        <w:b w:val="0"/>
        <w:sz w:val="22"/>
        <w:szCs w:val="22"/>
      </w:rPr>
    </w:lvl>
    <w:lvl w:ilvl="1">
      <w:start w:val="1"/>
      <w:numFmt w:val="decimal"/>
      <w:lvlText w:val="%1.%2"/>
      <w:lvlJc w:val="left"/>
      <w:pPr>
        <w:ind w:left="4613" w:hanging="360"/>
      </w:pPr>
      <w:rPr>
        <w:rFonts w:hint="default"/>
        <w:b w:val="0"/>
        <w:sz w:val="22"/>
        <w:szCs w:val="22"/>
      </w:rPr>
    </w:lvl>
    <w:lvl w:ilvl="2">
      <w:start w:val="1"/>
      <w:numFmt w:val="decimal"/>
      <w:lvlText w:val="%1.%2.%3"/>
      <w:lvlJc w:val="left"/>
      <w:pPr>
        <w:ind w:left="3049" w:hanging="720"/>
      </w:pPr>
      <w:rPr>
        <w:rFonts w:hint="default"/>
      </w:rPr>
    </w:lvl>
    <w:lvl w:ilvl="3">
      <w:start w:val="1"/>
      <w:numFmt w:val="decimal"/>
      <w:lvlText w:val="%1.%2.%3.%4"/>
      <w:lvlJc w:val="left"/>
      <w:pPr>
        <w:ind w:left="3859" w:hanging="720"/>
      </w:pPr>
      <w:rPr>
        <w:rFonts w:hint="default"/>
      </w:rPr>
    </w:lvl>
    <w:lvl w:ilvl="4">
      <w:start w:val="1"/>
      <w:numFmt w:val="decimal"/>
      <w:lvlText w:val="%1.%2.%3.%4.%5"/>
      <w:lvlJc w:val="left"/>
      <w:pPr>
        <w:ind w:left="5029" w:hanging="1080"/>
      </w:pPr>
      <w:rPr>
        <w:rFonts w:hint="default"/>
      </w:rPr>
    </w:lvl>
    <w:lvl w:ilvl="5">
      <w:start w:val="1"/>
      <w:numFmt w:val="decimal"/>
      <w:lvlText w:val="%1.%2.%3.%4.%5.%6"/>
      <w:lvlJc w:val="left"/>
      <w:pPr>
        <w:ind w:left="5839" w:hanging="1080"/>
      </w:pPr>
      <w:rPr>
        <w:rFonts w:hint="default"/>
      </w:rPr>
    </w:lvl>
    <w:lvl w:ilvl="6">
      <w:start w:val="1"/>
      <w:numFmt w:val="decimal"/>
      <w:lvlText w:val="%1.%2.%3.%4.%5.%6.%7"/>
      <w:lvlJc w:val="left"/>
      <w:pPr>
        <w:ind w:left="7009" w:hanging="1440"/>
      </w:pPr>
      <w:rPr>
        <w:rFonts w:hint="default"/>
      </w:rPr>
    </w:lvl>
    <w:lvl w:ilvl="7">
      <w:start w:val="1"/>
      <w:numFmt w:val="decimal"/>
      <w:lvlText w:val="%1.%2.%3.%4.%5.%6.%7.%8"/>
      <w:lvlJc w:val="left"/>
      <w:pPr>
        <w:ind w:left="7819" w:hanging="1440"/>
      </w:pPr>
      <w:rPr>
        <w:rFonts w:hint="default"/>
      </w:rPr>
    </w:lvl>
    <w:lvl w:ilvl="8">
      <w:start w:val="1"/>
      <w:numFmt w:val="decimal"/>
      <w:lvlText w:val="%1.%2.%3.%4.%5.%6.%7.%8.%9"/>
      <w:lvlJc w:val="left"/>
      <w:pPr>
        <w:ind w:left="8989" w:hanging="1800"/>
      </w:pPr>
      <w:rPr>
        <w:rFonts w:hint="default"/>
      </w:rPr>
    </w:lvl>
  </w:abstractNum>
  <w:abstractNum w:abstractNumId="3" w15:restartNumberingAfterBreak="0">
    <w:nsid w:val="024830E5"/>
    <w:multiLevelType w:val="hybridMultilevel"/>
    <w:tmpl w:val="A08477CC"/>
    <w:lvl w:ilvl="0" w:tplc="58D2EDA2">
      <w:start w:val="1"/>
      <w:numFmt w:val="lowerLetter"/>
      <w:lvlText w:val="%1."/>
      <w:lvlJc w:val="left"/>
      <w:pPr>
        <w:ind w:left="2160" w:hanging="360"/>
      </w:pPr>
      <w:rPr>
        <w:b w:val="0"/>
      </w:rPr>
    </w:lvl>
    <w:lvl w:ilvl="1" w:tplc="E55A505E">
      <w:start w:val="1"/>
      <w:numFmt w:val="decimal"/>
      <w:lvlText w:val="%2."/>
      <w:lvlJc w:val="left"/>
      <w:pPr>
        <w:ind w:left="3240" w:hanging="720"/>
      </w:pPr>
      <w:rPr>
        <w:rFonts w:hint="default"/>
      </w:r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4" w15:restartNumberingAfterBreak="0">
    <w:nsid w:val="119F4352"/>
    <w:multiLevelType w:val="multilevel"/>
    <w:tmpl w:val="DF5417B2"/>
    <w:lvl w:ilvl="0">
      <w:start w:val="4"/>
      <w:numFmt w:val="decimal"/>
      <w:lvlText w:val="%1."/>
      <w:lvlJc w:val="left"/>
      <w:pPr>
        <w:ind w:left="360" w:hanging="360"/>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5" w15:restartNumberingAfterBreak="0">
    <w:nsid w:val="125F0255"/>
    <w:multiLevelType w:val="multilevel"/>
    <w:tmpl w:val="2826BDE4"/>
    <w:lvl w:ilvl="0">
      <w:start w:val="7"/>
      <w:numFmt w:val="decimal"/>
      <w:lvlText w:val="%1."/>
      <w:lvlJc w:val="left"/>
      <w:pPr>
        <w:ind w:left="360" w:hanging="360"/>
      </w:pPr>
      <w:rPr>
        <w:rFonts w:hint="default"/>
        <w:b w:val="0"/>
        <w:color w:val="auto"/>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b w:val="0"/>
        <w:color w:val="auto"/>
      </w:rPr>
    </w:lvl>
    <w:lvl w:ilvl="3">
      <w:start w:val="1"/>
      <w:numFmt w:val="decimal"/>
      <w:lvlText w:val="%1.%2.%3.%4."/>
      <w:lvlJc w:val="left"/>
      <w:pPr>
        <w:ind w:left="2358" w:hanging="1080"/>
      </w:pPr>
      <w:rPr>
        <w:rFonts w:hint="default"/>
        <w:b w:val="0"/>
        <w:color w:val="auto"/>
      </w:rPr>
    </w:lvl>
    <w:lvl w:ilvl="4">
      <w:start w:val="1"/>
      <w:numFmt w:val="decimal"/>
      <w:lvlText w:val="%1.%2.%3.%4.%5."/>
      <w:lvlJc w:val="left"/>
      <w:pPr>
        <w:ind w:left="2784" w:hanging="1080"/>
      </w:pPr>
      <w:rPr>
        <w:rFonts w:hint="default"/>
        <w:b w:val="0"/>
        <w:color w:val="auto"/>
      </w:rPr>
    </w:lvl>
    <w:lvl w:ilvl="5">
      <w:start w:val="1"/>
      <w:numFmt w:val="decimal"/>
      <w:lvlText w:val="%1.%2.%3.%4.%5.%6."/>
      <w:lvlJc w:val="left"/>
      <w:pPr>
        <w:ind w:left="3570" w:hanging="1440"/>
      </w:pPr>
      <w:rPr>
        <w:rFonts w:hint="default"/>
        <w:b w:val="0"/>
        <w:color w:val="auto"/>
      </w:rPr>
    </w:lvl>
    <w:lvl w:ilvl="6">
      <w:start w:val="1"/>
      <w:numFmt w:val="decimal"/>
      <w:lvlText w:val="%1.%2.%3.%4.%5.%6.%7."/>
      <w:lvlJc w:val="left"/>
      <w:pPr>
        <w:ind w:left="3996" w:hanging="1440"/>
      </w:pPr>
      <w:rPr>
        <w:rFonts w:hint="default"/>
        <w:b w:val="0"/>
        <w:color w:val="auto"/>
      </w:rPr>
    </w:lvl>
    <w:lvl w:ilvl="7">
      <w:start w:val="1"/>
      <w:numFmt w:val="decimal"/>
      <w:lvlText w:val="%1.%2.%3.%4.%5.%6.%7.%8."/>
      <w:lvlJc w:val="left"/>
      <w:pPr>
        <w:ind w:left="4782" w:hanging="1800"/>
      </w:pPr>
      <w:rPr>
        <w:rFonts w:hint="default"/>
        <w:b w:val="0"/>
        <w:color w:val="auto"/>
      </w:rPr>
    </w:lvl>
    <w:lvl w:ilvl="8">
      <w:start w:val="1"/>
      <w:numFmt w:val="decimal"/>
      <w:lvlText w:val="%1.%2.%3.%4.%5.%6.%7.%8.%9."/>
      <w:lvlJc w:val="left"/>
      <w:pPr>
        <w:ind w:left="5208" w:hanging="1800"/>
      </w:pPr>
      <w:rPr>
        <w:rFonts w:hint="default"/>
        <w:b w:val="0"/>
        <w:color w:val="auto"/>
      </w:rPr>
    </w:lvl>
  </w:abstractNum>
  <w:abstractNum w:abstractNumId="6" w15:restartNumberingAfterBreak="0">
    <w:nsid w:val="168F1860"/>
    <w:multiLevelType w:val="hybridMultilevel"/>
    <w:tmpl w:val="803E47B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7" w15:restartNumberingAfterBreak="0">
    <w:nsid w:val="17886BFA"/>
    <w:multiLevelType w:val="hybridMultilevel"/>
    <w:tmpl w:val="32847FD8"/>
    <w:lvl w:ilvl="0" w:tplc="11B258BA">
      <w:start w:val="1"/>
      <w:numFmt w:val="lowerLetter"/>
      <w:lvlText w:val="%1."/>
      <w:lvlJc w:val="left"/>
      <w:pPr>
        <w:ind w:left="720" w:hanging="360"/>
      </w:pPr>
      <w:rPr>
        <w:i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8" w15:restartNumberingAfterBreak="0">
    <w:nsid w:val="17E143E9"/>
    <w:multiLevelType w:val="hybridMultilevel"/>
    <w:tmpl w:val="1B6C70F2"/>
    <w:lvl w:ilvl="0" w:tplc="7C52B174">
      <w:start w:val="1"/>
      <w:numFmt w:val="lowerLetter"/>
      <w:lvlText w:val="%1."/>
      <w:lvlJc w:val="left"/>
      <w:pPr>
        <w:ind w:left="1440" w:hanging="360"/>
      </w:pPr>
      <w:rPr>
        <w:color w:val="auto"/>
        <w:sz w:val="22"/>
      </w:rPr>
    </w:lvl>
    <w:lvl w:ilvl="1" w:tplc="34090019">
      <w:start w:val="1"/>
      <w:numFmt w:val="lowerLetter"/>
      <w:lvlText w:val="%2."/>
      <w:lvlJc w:val="left"/>
      <w:pPr>
        <w:ind w:left="2160" w:hanging="360"/>
      </w:pPr>
    </w:lvl>
    <w:lvl w:ilvl="2" w:tplc="3409001B">
      <w:start w:val="1"/>
      <w:numFmt w:val="lowerRoman"/>
      <w:lvlText w:val="%3."/>
      <w:lvlJc w:val="right"/>
      <w:pPr>
        <w:ind w:left="2880" w:hanging="180"/>
      </w:pPr>
    </w:lvl>
    <w:lvl w:ilvl="3" w:tplc="3409000F">
      <w:start w:val="1"/>
      <w:numFmt w:val="decimal"/>
      <w:lvlText w:val="%4."/>
      <w:lvlJc w:val="left"/>
      <w:pPr>
        <w:ind w:left="3600" w:hanging="360"/>
      </w:pPr>
    </w:lvl>
    <w:lvl w:ilvl="4" w:tplc="34090019">
      <w:start w:val="1"/>
      <w:numFmt w:val="lowerLetter"/>
      <w:lvlText w:val="%5."/>
      <w:lvlJc w:val="left"/>
      <w:pPr>
        <w:ind w:left="4320" w:hanging="360"/>
      </w:pPr>
    </w:lvl>
    <w:lvl w:ilvl="5" w:tplc="3409001B">
      <w:start w:val="1"/>
      <w:numFmt w:val="lowerRoman"/>
      <w:lvlText w:val="%6."/>
      <w:lvlJc w:val="right"/>
      <w:pPr>
        <w:ind w:left="5040" w:hanging="180"/>
      </w:pPr>
    </w:lvl>
    <w:lvl w:ilvl="6" w:tplc="3409000F">
      <w:start w:val="1"/>
      <w:numFmt w:val="decimal"/>
      <w:lvlText w:val="%7."/>
      <w:lvlJc w:val="left"/>
      <w:pPr>
        <w:ind w:left="5760" w:hanging="360"/>
      </w:pPr>
    </w:lvl>
    <w:lvl w:ilvl="7" w:tplc="34090019">
      <w:start w:val="1"/>
      <w:numFmt w:val="lowerLetter"/>
      <w:lvlText w:val="%8."/>
      <w:lvlJc w:val="left"/>
      <w:pPr>
        <w:ind w:left="6480" w:hanging="360"/>
      </w:pPr>
    </w:lvl>
    <w:lvl w:ilvl="8" w:tplc="3409001B">
      <w:start w:val="1"/>
      <w:numFmt w:val="lowerRoman"/>
      <w:lvlText w:val="%9."/>
      <w:lvlJc w:val="right"/>
      <w:pPr>
        <w:ind w:left="7200" w:hanging="180"/>
      </w:pPr>
    </w:lvl>
  </w:abstractNum>
  <w:abstractNum w:abstractNumId="9" w15:restartNumberingAfterBreak="0">
    <w:nsid w:val="198408B6"/>
    <w:multiLevelType w:val="hybridMultilevel"/>
    <w:tmpl w:val="92401548"/>
    <w:lvl w:ilvl="0" w:tplc="B8D8CBE0">
      <w:start w:val="1"/>
      <w:numFmt w:val="lowerLetter"/>
      <w:lvlText w:val="%1."/>
      <w:lvlJc w:val="left"/>
      <w:pPr>
        <w:ind w:left="2138" w:hanging="360"/>
      </w:pPr>
      <w:rPr>
        <w:b w:val="0"/>
      </w:rPr>
    </w:lvl>
    <w:lvl w:ilvl="1" w:tplc="34090019" w:tentative="1">
      <w:start w:val="1"/>
      <w:numFmt w:val="lowerLetter"/>
      <w:lvlText w:val="%2."/>
      <w:lvlJc w:val="left"/>
      <w:pPr>
        <w:ind w:left="2858" w:hanging="360"/>
      </w:pPr>
    </w:lvl>
    <w:lvl w:ilvl="2" w:tplc="3409001B" w:tentative="1">
      <w:start w:val="1"/>
      <w:numFmt w:val="lowerRoman"/>
      <w:lvlText w:val="%3."/>
      <w:lvlJc w:val="right"/>
      <w:pPr>
        <w:ind w:left="3578" w:hanging="180"/>
      </w:pPr>
    </w:lvl>
    <w:lvl w:ilvl="3" w:tplc="3409000F" w:tentative="1">
      <w:start w:val="1"/>
      <w:numFmt w:val="decimal"/>
      <w:lvlText w:val="%4."/>
      <w:lvlJc w:val="left"/>
      <w:pPr>
        <w:ind w:left="4298" w:hanging="360"/>
      </w:pPr>
    </w:lvl>
    <w:lvl w:ilvl="4" w:tplc="34090019" w:tentative="1">
      <w:start w:val="1"/>
      <w:numFmt w:val="lowerLetter"/>
      <w:lvlText w:val="%5."/>
      <w:lvlJc w:val="left"/>
      <w:pPr>
        <w:ind w:left="5018" w:hanging="360"/>
      </w:pPr>
    </w:lvl>
    <w:lvl w:ilvl="5" w:tplc="3409001B" w:tentative="1">
      <w:start w:val="1"/>
      <w:numFmt w:val="lowerRoman"/>
      <w:lvlText w:val="%6."/>
      <w:lvlJc w:val="right"/>
      <w:pPr>
        <w:ind w:left="5738" w:hanging="180"/>
      </w:pPr>
    </w:lvl>
    <w:lvl w:ilvl="6" w:tplc="3409000F" w:tentative="1">
      <w:start w:val="1"/>
      <w:numFmt w:val="decimal"/>
      <w:lvlText w:val="%7."/>
      <w:lvlJc w:val="left"/>
      <w:pPr>
        <w:ind w:left="6458" w:hanging="360"/>
      </w:pPr>
    </w:lvl>
    <w:lvl w:ilvl="7" w:tplc="34090019" w:tentative="1">
      <w:start w:val="1"/>
      <w:numFmt w:val="lowerLetter"/>
      <w:lvlText w:val="%8."/>
      <w:lvlJc w:val="left"/>
      <w:pPr>
        <w:ind w:left="7178" w:hanging="360"/>
      </w:pPr>
    </w:lvl>
    <w:lvl w:ilvl="8" w:tplc="3409001B" w:tentative="1">
      <w:start w:val="1"/>
      <w:numFmt w:val="lowerRoman"/>
      <w:lvlText w:val="%9."/>
      <w:lvlJc w:val="right"/>
      <w:pPr>
        <w:ind w:left="7898" w:hanging="180"/>
      </w:pPr>
    </w:lvl>
  </w:abstractNum>
  <w:abstractNum w:abstractNumId="10" w15:restartNumberingAfterBreak="0">
    <w:nsid w:val="1CCB52C6"/>
    <w:multiLevelType w:val="hybridMultilevel"/>
    <w:tmpl w:val="976804B8"/>
    <w:lvl w:ilvl="0" w:tplc="34090019">
      <w:start w:val="1"/>
      <w:numFmt w:val="lowerLetter"/>
      <w:lvlText w:val="%1."/>
      <w:lvlJc w:val="left"/>
      <w:pPr>
        <w:ind w:left="0" w:hanging="360"/>
      </w:pPr>
    </w:lvl>
    <w:lvl w:ilvl="1" w:tplc="34090019" w:tentative="1">
      <w:start w:val="1"/>
      <w:numFmt w:val="lowerLetter"/>
      <w:lvlText w:val="%2."/>
      <w:lvlJc w:val="left"/>
      <w:pPr>
        <w:ind w:left="720" w:hanging="360"/>
      </w:pPr>
    </w:lvl>
    <w:lvl w:ilvl="2" w:tplc="3409001B" w:tentative="1">
      <w:start w:val="1"/>
      <w:numFmt w:val="lowerRoman"/>
      <w:lvlText w:val="%3."/>
      <w:lvlJc w:val="right"/>
      <w:pPr>
        <w:ind w:left="1440" w:hanging="180"/>
      </w:pPr>
    </w:lvl>
    <w:lvl w:ilvl="3" w:tplc="3409000F" w:tentative="1">
      <w:start w:val="1"/>
      <w:numFmt w:val="decimal"/>
      <w:lvlText w:val="%4."/>
      <w:lvlJc w:val="left"/>
      <w:pPr>
        <w:ind w:left="2160" w:hanging="360"/>
      </w:pPr>
    </w:lvl>
    <w:lvl w:ilvl="4" w:tplc="34090019" w:tentative="1">
      <w:start w:val="1"/>
      <w:numFmt w:val="lowerLetter"/>
      <w:lvlText w:val="%5."/>
      <w:lvlJc w:val="left"/>
      <w:pPr>
        <w:ind w:left="2880" w:hanging="360"/>
      </w:pPr>
    </w:lvl>
    <w:lvl w:ilvl="5" w:tplc="3409001B" w:tentative="1">
      <w:start w:val="1"/>
      <w:numFmt w:val="lowerRoman"/>
      <w:lvlText w:val="%6."/>
      <w:lvlJc w:val="right"/>
      <w:pPr>
        <w:ind w:left="3600" w:hanging="180"/>
      </w:pPr>
    </w:lvl>
    <w:lvl w:ilvl="6" w:tplc="3409000F" w:tentative="1">
      <w:start w:val="1"/>
      <w:numFmt w:val="decimal"/>
      <w:lvlText w:val="%7."/>
      <w:lvlJc w:val="left"/>
      <w:pPr>
        <w:ind w:left="4320" w:hanging="360"/>
      </w:pPr>
    </w:lvl>
    <w:lvl w:ilvl="7" w:tplc="34090019" w:tentative="1">
      <w:start w:val="1"/>
      <w:numFmt w:val="lowerLetter"/>
      <w:lvlText w:val="%8."/>
      <w:lvlJc w:val="left"/>
      <w:pPr>
        <w:ind w:left="5040" w:hanging="360"/>
      </w:pPr>
    </w:lvl>
    <w:lvl w:ilvl="8" w:tplc="3409001B" w:tentative="1">
      <w:start w:val="1"/>
      <w:numFmt w:val="lowerRoman"/>
      <w:lvlText w:val="%9."/>
      <w:lvlJc w:val="right"/>
      <w:pPr>
        <w:ind w:left="5760" w:hanging="180"/>
      </w:pPr>
    </w:lvl>
  </w:abstractNum>
  <w:abstractNum w:abstractNumId="11" w15:restartNumberingAfterBreak="0">
    <w:nsid w:val="1EFC505E"/>
    <w:multiLevelType w:val="multilevel"/>
    <w:tmpl w:val="BB620CF8"/>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1F0E22CE"/>
    <w:multiLevelType w:val="multilevel"/>
    <w:tmpl w:val="302C59C4"/>
    <w:lvl w:ilvl="0">
      <w:start w:val="1"/>
      <w:numFmt w:val="decimal"/>
      <w:lvlText w:val="%1."/>
      <w:lvlJc w:val="left"/>
      <w:pPr>
        <w:ind w:left="3554" w:hanging="576"/>
      </w:pPr>
      <w:rPr>
        <w:color w:val="000000" w:themeColor="text1"/>
        <w:sz w:val="22"/>
        <w:szCs w:val="22"/>
      </w:rPr>
    </w:lvl>
    <w:lvl w:ilvl="1">
      <w:start w:val="1"/>
      <w:numFmt w:val="decimal"/>
      <w:lvlText w:val="%1.%2"/>
      <w:lvlJc w:val="left"/>
      <w:pPr>
        <w:ind w:left="1296" w:hanging="720"/>
      </w:pPr>
      <w:rPr>
        <w:rFonts w:ascii="Arial" w:hAnsi="Arial" w:cs="Arial"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FD59EC"/>
    <w:multiLevelType w:val="multilevel"/>
    <w:tmpl w:val="DAA44D5C"/>
    <w:lvl w:ilvl="0">
      <w:start w:val="7"/>
      <w:numFmt w:val="decimal"/>
      <w:lvlText w:val="%1."/>
      <w:lvlJc w:val="left"/>
      <w:pPr>
        <w:ind w:left="1069" w:hanging="360"/>
      </w:pPr>
      <w:rPr>
        <w:rFonts w:hint="default"/>
        <w:b w:val="0"/>
        <w:sz w:val="22"/>
        <w:szCs w:val="22"/>
      </w:rPr>
    </w:lvl>
    <w:lvl w:ilvl="1">
      <w:start w:val="1"/>
      <w:numFmt w:val="decimal"/>
      <w:lvlText w:val="%1.%2"/>
      <w:lvlJc w:val="left"/>
      <w:pPr>
        <w:ind w:left="4613" w:hanging="360"/>
      </w:pPr>
      <w:rPr>
        <w:rFonts w:hint="default"/>
        <w:b w:val="0"/>
        <w:sz w:val="22"/>
        <w:szCs w:val="22"/>
      </w:rPr>
    </w:lvl>
    <w:lvl w:ilvl="2">
      <w:start w:val="1"/>
      <w:numFmt w:val="decimal"/>
      <w:lvlText w:val="%1.%2.%3"/>
      <w:lvlJc w:val="left"/>
      <w:pPr>
        <w:ind w:left="3049" w:hanging="720"/>
      </w:pPr>
      <w:rPr>
        <w:rFonts w:hint="default"/>
      </w:rPr>
    </w:lvl>
    <w:lvl w:ilvl="3">
      <w:start w:val="1"/>
      <w:numFmt w:val="decimal"/>
      <w:lvlText w:val="%1.%2.%3.%4"/>
      <w:lvlJc w:val="left"/>
      <w:pPr>
        <w:ind w:left="3859" w:hanging="720"/>
      </w:pPr>
      <w:rPr>
        <w:rFonts w:hint="default"/>
      </w:rPr>
    </w:lvl>
    <w:lvl w:ilvl="4">
      <w:start w:val="1"/>
      <w:numFmt w:val="decimal"/>
      <w:lvlText w:val="%1.%2.%3.%4.%5"/>
      <w:lvlJc w:val="left"/>
      <w:pPr>
        <w:ind w:left="5029" w:hanging="1080"/>
      </w:pPr>
      <w:rPr>
        <w:rFonts w:hint="default"/>
      </w:rPr>
    </w:lvl>
    <w:lvl w:ilvl="5">
      <w:start w:val="1"/>
      <w:numFmt w:val="decimal"/>
      <w:lvlText w:val="%1.%2.%3.%4.%5.%6"/>
      <w:lvlJc w:val="left"/>
      <w:pPr>
        <w:ind w:left="5839" w:hanging="1080"/>
      </w:pPr>
      <w:rPr>
        <w:rFonts w:hint="default"/>
      </w:rPr>
    </w:lvl>
    <w:lvl w:ilvl="6">
      <w:start w:val="1"/>
      <w:numFmt w:val="decimal"/>
      <w:lvlText w:val="%1.%2.%3.%4.%5.%6.%7"/>
      <w:lvlJc w:val="left"/>
      <w:pPr>
        <w:ind w:left="7009" w:hanging="1440"/>
      </w:pPr>
      <w:rPr>
        <w:rFonts w:hint="default"/>
      </w:rPr>
    </w:lvl>
    <w:lvl w:ilvl="7">
      <w:start w:val="1"/>
      <w:numFmt w:val="decimal"/>
      <w:lvlText w:val="%1.%2.%3.%4.%5.%6.%7.%8"/>
      <w:lvlJc w:val="left"/>
      <w:pPr>
        <w:ind w:left="7819" w:hanging="1440"/>
      </w:pPr>
      <w:rPr>
        <w:rFonts w:hint="default"/>
      </w:rPr>
    </w:lvl>
    <w:lvl w:ilvl="8">
      <w:start w:val="1"/>
      <w:numFmt w:val="decimal"/>
      <w:lvlText w:val="%1.%2.%3.%4.%5.%6.%7.%8.%9"/>
      <w:lvlJc w:val="left"/>
      <w:pPr>
        <w:ind w:left="8989" w:hanging="1800"/>
      </w:pPr>
      <w:rPr>
        <w:rFonts w:hint="default"/>
      </w:rPr>
    </w:lvl>
  </w:abstractNum>
  <w:abstractNum w:abstractNumId="14" w15:restartNumberingAfterBreak="0">
    <w:nsid w:val="218659B7"/>
    <w:multiLevelType w:val="hybridMultilevel"/>
    <w:tmpl w:val="934647F2"/>
    <w:lvl w:ilvl="0" w:tplc="741487B4">
      <w:start w:val="1"/>
      <w:numFmt w:val="lowerLetter"/>
      <w:lvlText w:val="%1."/>
      <w:lvlJc w:val="left"/>
      <w:pPr>
        <w:ind w:left="2160" w:hanging="360"/>
      </w:pPr>
      <w:rPr>
        <w:rFonts w:hint="default"/>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5" w15:restartNumberingAfterBreak="0">
    <w:nsid w:val="2222382C"/>
    <w:multiLevelType w:val="multilevel"/>
    <w:tmpl w:val="3EE2B35C"/>
    <w:lvl w:ilvl="0">
      <w:start w:val="3"/>
      <w:numFmt w:val="decimal"/>
      <w:lvlText w:val="%1."/>
      <w:lvlJc w:val="left"/>
      <w:pPr>
        <w:ind w:left="360" w:hanging="360"/>
      </w:pPr>
      <w:rPr>
        <w:rFonts w:hint="default"/>
        <w:b w:val="0"/>
      </w:rPr>
    </w:lvl>
    <w:lvl w:ilvl="1">
      <w:start w:val="1"/>
      <w:numFmt w:val="decimal"/>
      <w:lvlText w:val="%1.%2."/>
      <w:lvlJc w:val="left"/>
      <w:pPr>
        <w:ind w:left="1288" w:hanging="720"/>
      </w:pPr>
      <w:rPr>
        <w:rFonts w:hint="default"/>
        <w:b w:val="0"/>
        <w:i w:val="0"/>
        <w:sz w:val="22"/>
        <w:szCs w:val="22"/>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4280" w:hanging="144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776" w:hanging="1800"/>
      </w:pPr>
      <w:rPr>
        <w:rFonts w:hint="default"/>
        <w:b w:val="0"/>
      </w:rPr>
    </w:lvl>
    <w:lvl w:ilvl="8">
      <w:start w:val="1"/>
      <w:numFmt w:val="decimal"/>
      <w:lvlText w:val="%1.%2.%3.%4.%5.%6.%7.%8.%9."/>
      <w:lvlJc w:val="left"/>
      <w:pPr>
        <w:ind w:left="6344" w:hanging="1800"/>
      </w:pPr>
      <w:rPr>
        <w:rFonts w:hint="default"/>
        <w:b w:val="0"/>
      </w:rPr>
    </w:lvl>
  </w:abstractNum>
  <w:abstractNum w:abstractNumId="16" w15:restartNumberingAfterBreak="0">
    <w:nsid w:val="2F3B2E75"/>
    <w:multiLevelType w:val="hybridMultilevel"/>
    <w:tmpl w:val="DEA875F0"/>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7" w15:restartNumberingAfterBreak="0">
    <w:nsid w:val="301A1CD6"/>
    <w:multiLevelType w:val="hybridMultilevel"/>
    <w:tmpl w:val="CC36DC18"/>
    <w:lvl w:ilvl="0" w:tplc="8FD21684">
      <w:start w:val="1"/>
      <w:numFmt w:val="lowerLetter"/>
      <w:lvlText w:val="%1."/>
      <w:lvlJc w:val="left"/>
      <w:pPr>
        <w:ind w:left="1778" w:hanging="360"/>
      </w:pPr>
      <w:rPr>
        <w:rFonts w:hint="default"/>
        <w:i w:val="0"/>
        <w:sz w:val="22"/>
      </w:rPr>
    </w:lvl>
    <w:lvl w:ilvl="1" w:tplc="34090019" w:tentative="1">
      <w:start w:val="1"/>
      <w:numFmt w:val="lowerLetter"/>
      <w:lvlText w:val="%2."/>
      <w:lvlJc w:val="left"/>
      <w:pPr>
        <w:ind w:left="2498" w:hanging="360"/>
      </w:pPr>
    </w:lvl>
    <w:lvl w:ilvl="2" w:tplc="3409001B" w:tentative="1">
      <w:start w:val="1"/>
      <w:numFmt w:val="lowerRoman"/>
      <w:lvlText w:val="%3."/>
      <w:lvlJc w:val="right"/>
      <w:pPr>
        <w:ind w:left="3218" w:hanging="180"/>
      </w:pPr>
    </w:lvl>
    <w:lvl w:ilvl="3" w:tplc="3409000F" w:tentative="1">
      <w:start w:val="1"/>
      <w:numFmt w:val="decimal"/>
      <w:lvlText w:val="%4."/>
      <w:lvlJc w:val="left"/>
      <w:pPr>
        <w:ind w:left="3938" w:hanging="360"/>
      </w:pPr>
    </w:lvl>
    <w:lvl w:ilvl="4" w:tplc="34090019" w:tentative="1">
      <w:start w:val="1"/>
      <w:numFmt w:val="lowerLetter"/>
      <w:lvlText w:val="%5."/>
      <w:lvlJc w:val="left"/>
      <w:pPr>
        <w:ind w:left="4658" w:hanging="360"/>
      </w:pPr>
    </w:lvl>
    <w:lvl w:ilvl="5" w:tplc="3409001B" w:tentative="1">
      <w:start w:val="1"/>
      <w:numFmt w:val="lowerRoman"/>
      <w:lvlText w:val="%6."/>
      <w:lvlJc w:val="right"/>
      <w:pPr>
        <w:ind w:left="5378" w:hanging="180"/>
      </w:pPr>
    </w:lvl>
    <w:lvl w:ilvl="6" w:tplc="3409000F" w:tentative="1">
      <w:start w:val="1"/>
      <w:numFmt w:val="decimal"/>
      <w:lvlText w:val="%7."/>
      <w:lvlJc w:val="left"/>
      <w:pPr>
        <w:ind w:left="6098" w:hanging="360"/>
      </w:pPr>
    </w:lvl>
    <w:lvl w:ilvl="7" w:tplc="34090019" w:tentative="1">
      <w:start w:val="1"/>
      <w:numFmt w:val="lowerLetter"/>
      <w:lvlText w:val="%8."/>
      <w:lvlJc w:val="left"/>
      <w:pPr>
        <w:ind w:left="6818" w:hanging="360"/>
      </w:pPr>
    </w:lvl>
    <w:lvl w:ilvl="8" w:tplc="3409001B" w:tentative="1">
      <w:start w:val="1"/>
      <w:numFmt w:val="lowerRoman"/>
      <w:lvlText w:val="%9."/>
      <w:lvlJc w:val="right"/>
      <w:pPr>
        <w:ind w:left="7538" w:hanging="180"/>
      </w:pPr>
    </w:lvl>
  </w:abstractNum>
  <w:abstractNum w:abstractNumId="18" w15:restartNumberingAfterBreak="0">
    <w:nsid w:val="30376D34"/>
    <w:multiLevelType w:val="hybridMultilevel"/>
    <w:tmpl w:val="AD288516"/>
    <w:lvl w:ilvl="0" w:tplc="2C06618C">
      <w:start w:val="1"/>
      <w:numFmt w:val="lowerLetter"/>
      <w:lvlText w:val="%1."/>
      <w:lvlJc w:val="left"/>
      <w:pPr>
        <w:ind w:left="1069" w:hanging="360"/>
      </w:pPr>
      <w:rPr>
        <w:rFonts w:hint="default"/>
      </w:rPr>
    </w:lvl>
    <w:lvl w:ilvl="1" w:tplc="34090019" w:tentative="1">
      <w:start w:val="1"/>
      <w:numFmt w:val="lowerLetter"/>
      <w:lvlText w:val="%2."/>
      <w:lvlJc w:val="left"/>
      <w:pPr>
        <w:ind w:left="1789" w:hanging="360"/>
      </w:pPr>
    </w:lvl>
    <w:lvl w:ilvl="2" w:tplc="3409001B" w:tentative="1">
      <w:start w:val="1"/>
      <w:numFmt w:val="lowerRoman"/>
      <w:lvlText w:val="%3."/>
      <w:lvlJc w:val="right"/>
      <w:pPr>
        <w:ind w:left="2509" w:hanging="180"/>
      </w:pPr>
    </w:lvl>
    <w:lvl w:ilvl="3" w:tplc="3409000F" w:tentative="1">
      <w:start w:val="1"/>
      <w:numFmt w:val="decimal"/>
      <w:lvlText w:val="%4."/>
      <w:lvlJc w:val="left"/>
      <w:pPr>
        <w:ind w:left="3229" w:hanging="360"/>
      </w:pPr>
    </w:lvl>
    <w:lvl w:ilvl="4" w:tplc="34090019" w:tentative="1">
      <w:start w:val="1"/>
      <w:numFmt w:val="lowerLetter"/>
      <w:lvlText w:val="%5."/>
      <w:lvlJc w:val="left"/>
      <w:pPr>
        <w:ind w:left="3949" w:hanging="360"/>
      </w:pPr>
    </w:lvl>
    <w:lvl w:ilvl="5" w:tplc="3409001B" w:tentative="1">
      <w:start w:val="1"/>
      <w:numFmt w:val="lowerRoman"/>
      <w:lvlText w:val="%6."/>
      <w:lvlJc w:val="right"/>
      <w:pPr>
        <w:ind w:left="4669" w:hanging="180"/>
      </w:pPr>
    </w:lvl>
    <w:lvl w:ilvl="6" w:tplc="3409000F" w:tentative="1">
      <w:start w:val="1"/>
      <w:numFmt w:val="decimal"/>
      <w:lvlText w:val="%7."/>
      <w:lvlJc w:val="left"/>
      <w:pPr>
        <w:ind w:left="5389" w:hanging="360"/>
      </w:pPr>
    </w:lvl>
    <w:lvl w:ilvl="7" w:tplc="34090019" w:tentative="1">
      <w:start w:val="1"/>
      <w:numFmt w:val="lowerLetter"/>
      <w:lvlText w:val="%8."/>
      <w:lvlJc w:val="left"/>
      <w:pPr>
        <w:ind w:left="6109" w:hanging="360"/>
      </w:pPr>
    </w:lvl>
    <w:lvl w:ilvl="8" w:tplc="3409001B" w:tentative="1">
      <w:start w:val="1"/>
      <w:numFmt w:val="lowerRoman"/>
      <w:lvlText w:val="%9."/>
      <w:lvlJc w:val="right"/>
      <w:pPr>
        <w:ind w:left="6829" w:hanging="180"/>
      </w:pPr>
    </w:lvl>
  </w:abstractNum>
  <w:abstractNum w:abstractNumId="19" w15:restartNumberingAfterBreak="0">
    <w:nsid w:val="327E48B3"/>
    <w:multiLevelType w:val="hybridMultilevel"/>
    <w:tmpl w:val="C43CE706"/>
    <w:lvl w:ilvl="0" w:tplc="7C623B2E">
      <w:start w:val="1"/>
      <w:numFmt w:val="lowerLetter"/>
      <w:lvlText w:val="%1."/>
      <w:lvlJc w:val="left"/>
      <w:pPr>
        <w:ind w:left="2160" w:hanging="360"/>
      </w:pPr>
      <w:rPr>
        <w:rFonts w:hint="default"/>
        <w:b w:val="0"/>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0" w15:restartNumberingAfterBreak="0">
    <w:nsid w:val="33D65B1C"/>
    <w:multiLevelType w:val="hybridMultilevel"/>
    <w:tmpl w:val="547EBD36"/>
    <w:lvl w:ilvl="0" w:tplc="6E7AA234">
      <w:start w:val="1"/>
      <w:numFmt w:val="lowerLetter"/>
      <w:lvlText w:val="%1."/>
      <w:lvlJc w:val="left"/>
      <w:pPr>
        <w:ind w:left="2160" w:hanging="360"/>
      </w:pPr>
      <w:rPr>
        <w:rFonts w:hint="default"/>
        <w:b w:val="0"/>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1" w15:restartNumberingAfterBreak="0">
    <w:nsid w:val="363268F9"/>
    <w:multiLevelType w:val="hybridMultilevel"/>
    <w:tmpl w:val="79FE7E40"/>
    <w:lvl w:ilvl="0" w:tplc="FEC45BEC">
      <w:start w:val="1"/>
      <w:numFmt w:val="lowerLetter"/>
      <w:lvlText w:val="%1."/>
      <w:lvlJc w:val="left"/>
      <w:pPr>
        <w:ind w:left="720" w:hanging="360"/>
      </w:pPr>
      <w:rPr>
        <w:rFonts w:hint="default"/>
        <w:b w:val="0"/>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3B7B0DDB"/>
    <w:multiLevelType w:val="hybridMultilevel"/>
    <w:tmpl w:val="CC4E64E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3BC24999"/>
    <w:multiLevelType w:val="multilevel"/>
    <w:tmpl w:val="1FD8F3B6"/>
    <w:lvl w:ilvl="0">
      <w:start w:val="1"/>
      <w:numFmt w:val="decimal"/>
      <w:lvlText w:val="%1."/>
      <w:lvlJc w:val="left"/>
      <w:pPr>
        <w:ind w:left="360" w:hanging="360"/>
      </w:pPr>
      <w:rPr>
        <w:b/>
      </w:rPr>
    </w:lvl>
    <w:lvl w:ilvl="1">
      <w:start w:val="1"/>
      <w:numFmt w:val="decimal"/>
      <w:lvlText w:val="%1.%2."/>
      <w:lvlJc w:val="left"/>
      <w:pPr>
        <w:ind w:left="720" w:hanging="720"/>
      </w:pPr>
      <w:rPr>
        <w:b w:val="0"/>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4" w15:restartNumberingAfterBreak="0">
    <w:nsid w:val="3DA77935"/>
    <w:multiLevelType w:val="multilevel"/>
    <w:tmpl w:val="E23CDB1C"/>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3F1D0F99"/>
    <w:multiLevelType w:val="hybridMultilevel"/>
    <w:tmpl w:val="7E32C440"/>
    <w:lvl w:ilvl="0" w:tplc="3692F85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6" w15:restartNumberingAfterBreak="0">
    <w:nsid w:val="3FF02AD3"/>
    <w:multiLevelType w:val="multilevel"/>
    <w:tmpl w:val="CA188252"/>
    <w:lvl w:ilvl="0">
      <w:start w:val="6"/>
      <w:numFmt w:val="decimal"/>
      <w:lvlText w:val="%1."/>
      <w:lvlJc w:val="left"/>
      <w:pPr>
        <w:ind w:left="360" w:hanging="360"/>
      </w:pPr>
      <w:rPr>
        <w:rFonts w:hint="default"/>
        <w:b w:val="0"/>
      </w:rPr>
    </w:lvl>
    <w:lvl w:ilvl="1">
      <w:start w:val="1"/>
      <w:numFmt w:val="decimal"/>
      <w:lvlText w:val="%1.%2."/>
      <w:lvlJc w:val="left"/>
      <w:pPr>
        <w:ind w:left="2138" w:hanging="720"/>
      </w:pPr>
      <w:rPr>
        <w:rFonts w:hint="default"/>
        <w:b w:val="0"/>
        <w:sz w:val="22"/>
        <w:szCs w:val="22"/>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144" w:hanging="1800"/>
      </w:pPr>
      <w:rPr>
        <w:rFonts w:hint="default"/>
        <w:b w:val="0"/>
      </w:rPr>
    </w:lvl>
  </w:abstractNum>
  <w:abstractNum w:abstractNumId="27" w15:restartNumberingAfterBreak="0">
    <w:nsid w:val="446D5F7B"/>
    <w:multiLevelType w:val="multilevel"/>
    <w:tmpl w:val="44028AAE"/>
    <w:lvl w:ilvl="0">
      <w:start w:val="9"/>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46BB3333"/>
    <w:multiLevelType w:val="hybridMultilevel"/>
    <w:tmpl w:val="803E47B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9" w15:restartNumberingAfterBreak="0">
    <w:nsid w:val="4DE33E14"/>
    <w:multiLevelType w:val="hybridMultilevel"/>
    <w:tmpl w:val="CF683F7E"/>
    <w:lvl w:ilvl="0" w:tplc="04090015">
      <w:start w:val="1"/>
      <w:numFmt w:val="upperLetter"/>
      <w:lvlText w:val="%1."/>
      <w:lvlJc w:val="left"/>
      <w:pPr>
        <w:ind w:left="720" w:hanging="360"/>
      </w:pPr>
    </w:lvl>
    <w:lvl w:ilvl="1" w:tplc="4FDE4830">
      <w:start w:val="1"/>
      <w:numFmt w:val="lowerLetter"/>
      <w:lvlText w:val="%2."/>
      <w:lvlJc w:val="left"/>
      <w:pPr>
        <w:ind w:left="1635" w:hanging="555"/>
      </w:pPr>
      <w:rPr>
        <w:b w:val="0"/>
        <w:i w:val="0"/>
      </w:rPr>
    </w:lvl>
    <w:lvl w:ilvl="2" w:tplc="9D5EC380">
      <w:start w:val="1"/>
      <w:numFmt w:val="lowerRoman"/>
      <w:lvlText w:val="(%3)"/>
      <w:lvlJc w:val="left"/>
      <w:pPr>
        <w:ind w:left="2700" w:hanging="72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4F8D2B45"/>
    <w:multiLevelType w:val="hybridMultilevel"/>
    <w:tmpl w:val="74D6A27E"/>
    <w:lvl w:ilvl="0" w:tplc="34090019">
      <w:start w:val="1"/>
      <w:numFmt w:val="lowerLetter"/>
      <w:lvlText w:val="%1."/>
      <w:lvlJc w:val="left"/>
      <w:pPr>
        <w:ind w:left="720" w:hanging="360"/>
      </w:pPr>
      <w:rPr>
        <w:rFonts w:hint="default"/>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524A2982"/>
    <w:multiLevelType w:val="hybridMultilevel"/>
    <w:tmpl w:val="DF601A70"/>
    <w:lvl w:ilvl="0" w:tplc="694E6360">
      <w:start w:val="1"/>
      <w:numFmt w:val="lowerLetter"/>
      <w:lvlText w:val="%1."/>
      <w:lvlJc w:val="left"/>
      <w:pPr>
        <w:ind w:left="1080" w:hanging="360"/>
      </w:pPr>
      <w:rPr>
        <w:rFonts w:eastAsia="Calibri"/>
      </w:r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start w:val="1"/>
      <w:numFmt w:val="decimal"/>
      <w:lvlText w:val="%4."/>
      <w:lvlJc w:val="left"/>
      <w:pPr>
        <w:ind w:left="3240" w:hanging="360"/>
      </w:pPr>
    </w:lvl>
    <w:lvl w:ilvl="4" w:tplc="34090019">
      <w:start w:val="1"/>
      <w:numFmt w:val="lowerLetter"/>
      <w:lvlText w:val="%5."/>
      <w:lvlJc w:val="left"/>
      <w:pPr>
        <w:ind w:left="3960" w:hanging="360"/>
      </w:pPr>
    </w:lvl>
    <w:lvl w:ilvl="5" w:tplc="3409001B">
      <w:start w:val="1"/>
      <w:numFmt w:val="lowerRoman"/>
      <w:lvlText w:val="%6."/>
      <w:lvlJc w:val="right"/>
      <w:pPr>
        <w:ind w:left="4680" w:hanging="180"/>
      </w:pPr>
    </w:lvl>
    <w:lvl w:ilvl="6" w:tplc="3409000F">
      <w:start w:val="1"/>
      <w:numFmt w:val="decimal"/>
      <w:lvlText w:val="%7."/>
      <w:lvlJc w:val="left"/>
      <w:pPr>
        <w:ind w:left="5400" w:hanging="360"/>
      </w:pPr>
    </w:lvl>
    <w:lvl w:ilvl="7" w:tplc="34090019">
      <w:start w:val="1"/>
      <w:numFmt w:val="lowerLetter"/>
      <w:lvlText w:val="%8."/>
      <w:lvlJc w:val="left"/>
      <w:pPr>
        <w:ind w:left="6120" w:hanging="360"/>
      </w:pPr>
    </w:lvl>
    <w:lvl w:ilvl="8" w:tplc="3409001B">
      <w:start w:val="1"/>
      <w:numFmt w:val="lowerRoman"/>
      <w:lvlText w:val="%9."/>
      <w:lvlJc w:val="right"/>
      <w:pPr>
        <w:ind w:left="6840" w:hanging="180"/>
      </w:pPr>
    </w:lvl>
  </w:abstractNum>
  <w:abstractNum w:abstractNumId="32" w15:restartNumberingAfterBreak="0">
    <w:nsid w:val="569979BB"/>
    <w:multiLevelType w:val="hybridMultilevel"/>
    <w:tmpl w:val="0C60073A"/>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33" w15:restartNumberingAfterBreak="0">
    <w:nsid w:val="5BBA3538"/>
    <w:multiLevelType w:val="hybridMultilevel"/>
    <w:tmpl w:val="30CC6D2E"/>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5DBC388E"/>
    <w:multiLevelType w:val="hybridMultilevel"/>
    <w:tmpl w:val="7E3EA3E2"/>
    <w:lvl w:ilvl="0" w:tplc="C00C07C2">
      <w:start w:val="1"/>
      <w:numFmt w:val="lowerLetter"/>
      <w:lvlText w:val="%1."/>
      <w:lvlJc w:val="left"/>
      <w:pPr>
        <w:ind w:left="1440" w:hanging="360"/>
      </w:pPr>
      <w:rPr>
        <w:b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5" w15:restartNumberingAfterBreak="0">
    <w:nsid w:val="600B5F81"/>
    <w:multiLevelType w:val="hybridMultilevel"/>
    <w:tmpl w:val="B2BEB388"/>
    <w:lvl w:ilvl="0" w:tplc="17F0BB2E">
      <w:start w:val="1"/>
      <w:numFmt w:val="lowerLetter"/>
      <w:lvlText w:val="%1."/>
      <w:lvlJc w:val="left"/>
      <w:pPr>
        <w:ind w:left="1496" w:hanging="360"/>
      </w:pPr>
      <w:rPr>
        <w:b/>
      </w:rPr>
    </w:lvl>
    <w:lvl w:ilvl="1" w:tplc="34090019" w:tentative="1">
      <w:start w:val="1"/>
      <w:numFmt w:val="lowerLetter"/>
      <w:lvlText w:val="%2."/>
      <w:lvlJc w:val="left"/>
      <w:pPr>
        <w:ind w:left="2216" w:hanging="360"/>
      </w:pPr>
    </w:lvl>
    <w:lvl w:ilvl="2" w:tplc="3409001B" w:tentative="1">
      <w:start w:val="1"/>
      <w:numFmt w:val="lowerRoman"/>
      <w:lvlText w:val="%3."/>
      <w:lvlJc w:val="right"/>
      <w:pPr>
        <w:ind w:left="2936" w:hanging="180"/>
      </w:pPr>
    </w:lvl>
    <w:lvl w:ilvl="3" w:tplc="3409000F" w:tentative="1">
      <w:start w:val="1"/>
      <w:numFmt w:val="decimal"/>
      <w:lvlText w:val="%4."/>
      <w:lvlJc w:val="left"/>
      <w:pPr>
        <w:ind w:left="3656" w:hanging="360"/>
      </w:pPr>
    </w:lvl>
    <w:lvl w:ilvl="4" w:tplc="34090019" w:tentative="1">
      <w:start w:val="1"/>
      <w:numFmt w:val="lowerLetter"/>
      <w:lvlText w:val="%5."/>
      <w:lvlJc w:val="left"/>
      <w:pPr>
        <w:ind w:left="4376" w:hanging="360"/>
      </w:pPr>
    </w:lvl>
    <w:lvl w:ilvl="5" w:tplc="3409001B" w:tentative="1">
      <w:start w:val="1"/>
      <w:numFmt w:val="lowerRoman"/>
      <w:lvlText w:val="%6."/>
      <w:lvlJc w:val="right"/>
      <w:pPr>
        <w:ind w:left="5096" w:hanging="180"/>
      </w:pPr>
    </w:lvl>
    <w:lvl w:ilvl="6" w:tplc="3409000F" w:tentative="1">
      <w:start w:val="1"/>
      <w:numFmt w:val="decimal"/>
      <w:lvlText w:val="%7."/>
      <w:lvlJc w:val="left"/>
      <w:pPr>
        <w:ind w:left="5816" w:hanging="360"/>
      </w:pPr>
    </w:lvl>
    <w:lvl w:ilvl="7" w:tplc="34090019" w:tentative="1">
      <w:start w:val="1"/>
      <w:numFmt w:val="lowerLetter"/>
      <w:lvlText w:val="%8."/>
      <w:lvlJc w:val="left"/>
      <w:pPr>
        <w:ind w:left="6536" w:hanging="360"/>
      </w:pPr>
    </w:lvl>
    <w:lvl w:ilvl="8" w:tplc="3409001B" w:tentative="1">
      <w:start w:val="1"/>
      <w:numFmt w:val="lowerRoman"/>
      <w:lvlText w:val="%9."/>
      <w:lvlJc w:val="right"/>
      <w:pPr>
        <w:ind w:left="7256" w:hanging="180"/>
      </w:pPr>
    </w:lvl>
  </w:abstractNum>
  <w:abstractNum w:abstractNumId="36" w15:restartNumberingAfterBreak="0">
    <w:nsid w:val="601F4F29"/>
    <w:multiLevelType w:val="hybridMultilevel"/>
    <w:tmpl w:val="63F4F26C"/>
    <w:lvl w:ilvl="0" w:tplc="74D0CD6A">
      <w:start w:val="1"/>
      <w:numFmt w:val="lowerRoman"/>
      <w:lvlText w:val="%1."/>
      <w:lvlJc w:val="left"/>
      <w:pPr>
        <w:ind w:left="1713" w:hanging="720"/>
      </w:pPr>
      <w:rPr>
        <w:rFonts w:ascii="Arial" w:hAnsi="Arial" w:cs="Arial" w:hint="default"/>
        <w:i/>
      </w:rPr>
    </w:lvl>
    <w:lvl w:ilvl="1" w:tplc="DAF45100">
      <w:start w:val="1"/>
      <w:numFmt w:val="lowerLetter"/>
      <w:lvlText w:val="%2."/>
      <w:lvlJc w:val="left"/>
      <w:pPr>
        <w:ind w:left="2073" w:hanging="360"/>
      </w:pPr>
      <w:rPr>
        <w:rFonts w:hint="default"/>
        <w:b w:val="0"/>
        <w:i w:val="0"/>
      </w:rPr>
    </w:lvl>
    <w:lvl w:ilvl="2" w:tplc="3409001B">
      <w:start w:val="1"/>
      <w:numFmt w:val="lowerRoman"/>
      <w:lvlText w:val="%3."/>
      <w:lvlJc w:val="right"/>
      <w:pPr>
        <w:ind w:left="2793" w:hanging="180"/>
      </w:pPr>
    </w:lvl>
    <w:lvl w:ilvl="3" w:tplc="3409000F">
      <w:start w:val="1"/>
      <w:numFmt w:val="decimal"/>
      <w:lvlText w:val="%4."/>
      <w:lvlJc w:val="left"/>
      <w:pPr>
        <w:ind w:left="3513" w:hanging="360"/>
      </w:pPr>
    </w:lvl>
    <w:lvl w:ilvl="4" w:tplc="AEC8B78E">
      <w:start w:val="1"/>
      <w:numFmt w:val="lowerLetter"/>
      <w:lvlText w:val="%5."/>
      <w:lvlJc w:val="left"/>
      <w:pPr>
        <w:ind w:left="4233" w:hanging="360"/>
      </w:pPr>
      <w:rPr>
        <w:b w:val="0"/>
        <w:i w:val="0"/>
      </w:rPr>
    </w:lvl>
    <w:lvl w:ilvl="5" w:tplc="3409001B">
      <w:start w:val="1"/>
      <w:numFmt w:val="lowerRoman"/>
      <w:lvlText w:val="%6."/>
      <w:lvlJc w:val="right"/>
      <w:pPr>
        <w:ind w:left="4953" w:hanging="180"/>
      </w:pPr>
    </w:lvl>
    <w:lvl w:ilvl="6" w:tplc="3409000F">
      <w:start w:val="1"/>
      <w:numFmt w:val="decimal"/>
      <w:lvlText w:val="%7."/>
      <w:lvlJc w:val="left"/>
      <w:pPr>
        <w:ind w:left="5673" w:hanging="360"/>
      </w:pPr>
    </w:lvl>
    <w:lvl w:ilvl="7" w:tplc="34090019">
      <w:start w:val="1"/>
      <w:numFmt w:val="lowerLetter"/>
      <w:lvlText w:val="%8."/>
      <w:lvlJc w:val="left"/>
      <w:pPr>
        <w:ind w:left="6393" w:hanging="360"/>
      </w:pPr>
    </w:lvl>
    <w:lvl w:ilvl="8" w:tplc="3409001B">
      <w:start w:val="1"/>
      <w:numFmt w:val="lowerRoman"/>
      <w:lvlText w:val="%9."/>
      <w:lvlJc w:val="right"/>
      <w:pPr>
        <w:ind w:left="7113" w:hanging="180"/>
      </w:pPr>
    </w:lvl>
  </w:abstractNum>
  <w:abstractNum w:abstractNumId="37" w15:restartNumberingAfterBreak="0">
    <w:nsid w:val="6026520B"/>
    <w:multiLevelType w:val="hybridMultilevel"/>
    <w:tmpl w:val="6D9EB11E"/>
    <w:lvl w:ilvl="0" w:tplc="34090019">
      <w:start w:val="1"/>
      <w:numFmt w:val="lowerLetter"/>
      <w:lvlText w:val="%1."/>
      <w:lvlJc w:val="left"/>
      <w:pPr>
        <w:ind w:left="720" w:hanging="360"/>
      </w:pPr>
      <w:rPr>
        <w:rFonts w:hint="default"/>
      </w:rPr>
    </w:lvl>
    <w:lvl w:ilvl="1" w:tplc="3409001B">
      <w:start w:val="1"/>
      <w:numFmt w:val="lowerRoman"/>
      <w:lvlText w:val="%2."/>
      <w:lvlJc w:val="righ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619613D3"/>
    <w:multiLevelType w:val="hybridMultilevel"/>
    <w:tmpl w:val="0E4616D8"/>
    <w:lvl w:ilvl="0" w:tplc="9F5ADF52">
      <w:start w:val="1"/>
      <w:numFmt w:val="lowerLetter"/>
      <w:lvlText w:val="%1."/>
      <w:lvlJc w:val="left"/>
      <w:pPr>
        <w:ind w:left="1440" w:hanging="360"/>
      </w:pPr>
      <w:rPr>
        <w:rFonts w:hint="default"/>
        <w:b w:val="0"/>
        <w:color w:val="000000" w:themeColor="text1"/>
      </w:rPr>
    </w:lvl>
    <w:lvl w:ilvl="1" w:tplc="34090019">
      <w:start w:val="1"/>
      <w:numFmt w:val="lowerLetter"/>
      <w:lvlText w:val="%2."/>
      <w:lvlJc w:val="left"/>
      <w:pPr>
        <w:ind w:left="2160" w:hanging="360"/>
      </w:pPr>
    </w:lvl>
    <w:lvl w:ilvl="2" w:tplc="3409001B">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9" w15:restartNumberingAfterBreak="0">
    <w:nsid w:val="62510184"/>
    <w:multiLevelType w:val="hybridMultilevel"/>
    <w:tmpl w:val="97CAB7F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0" w15:restartNumberingAfterBreak="0">
    <w:nsid w:val="6CC47B5E"/>
    <w:multiLevelType w:val="multilevel"/>
    <w:tmpl w:val="B92EAF70"/>
    <w:lvl w:ilvl="0">
      <w:start w:val="2"/>
      <w:numFmt w:val="decimal"/>
      <w:lvlText w:val="%1."/>
      <w:lvlJc w:val="left"/>
      <w:pPr>
        <w:ind w:left="360" w:hanging="360"/>
      </w:pPr>
      <w:rPr>
        <w:b w:val="0"/>
      </w:rPr>
    </w:lvl>
    <w:lvl w:ilvl="1">
      <w:start w:val="1"/>
      <w:numFmt w:val="decimal"/>
      <w:lvlText w:val="%1.%2."/>
      <w:lvlJc w:val="left"/>
      <w:pPr>
        <w:ind w:left="1288" w:hanging="720"/>
      </w:pPr>
      <w:rPr>
        <w:b w:val="0"/>
        <w:i w:val="0"/>
        <w:sz w:val="22"/>
        <w:szCs w:val="22"/>
      </w:rPr>
    </w:lvl>
    <w:lvl w:ilvl="2">
      <w:start w:val="1"/>
      <w:numFmt w:val="decimal"/>
      <w:lvlText w:val="%1.%2.%3."/>
      <w:lvlJc w:val="left"/>
      <w:pPr>
        <w:ind w:left="1856" w:hanging="720"/>
      </w:pPr>
      <w:rPr>
        <w:b w:val="0"/>
      </w:rPr>
    </w:lvl>
    <w:lvl w:ilvl="3">
      <w:start w:val="1"/>
      <w:numFmt w:val="decimal"/>
      <w:lvlText w:val="%1.%2.%3.%4."/>
      <w:lvlJc w:val="left"/>
      <w:pPr>
        <w:ind w:left="2784" w:hanging="1080"/>
      </w:pPr>
      <w:rPr>
        <w:b w:val="0"/>
      </w:rPr>
    </w:lvl>
    <w:lvl w:ilvl="4">
      <w:start w:val="1"/>
      <w:numFmt w:val="decimal"/>
      <w:lvlText w:val="%1.%2.%3.%4.%5."/>
      <w:lvlJc w:val="left"/>
      <w:pPr>
        <w:ind w:left="3352" w:hanging="1080"/>
      </w:pPr>
      <w:rPr>
        <w:b w:val="0"/>
      </w:rPr>
    </w:lvl>
    <w:lvl w:ilvl="5">
      <w:start w:val="1"/>
      <w:numFmt w:val="decimal"/>
      <w:lvlText w:val="%1.%2.%3.%4.%5.%6."/>
      <w:lvlJc w:val="left"/>
      <w:pPr>
        <w:ind w:left="4280" w:hanging="1440"/>
      </w:pPr>
      <w:rPr>
        <w:b w:val="0"/>
      </w:rPr>
    </w:lvl>
    <w:lvl w:ilvl="6">
      <w:start w:val="1"/>
      <w:numFmt w:val="decimal"/>
      <w:lvlText w:val="%1.%2.%3.%4.%5.%6.%7."/>
      <w:lvlJc w:val="left"/>
      <w:pPr>
        <w:ind w:left="4848" w:hanging="1440"/>
      </w:pPr>
      <w:rPr>
        <w:b w:val="0"/>
      </w:rPr>
    </w:lvl>
    <w:lvl w:ilvl="7">
      <w:start w:val="1"/>
      <w:numFmt w:val="decimal"/>
      <w:lvlText w:val="%1.%2.%3.%4.%5.%6.%7.%8."/>
      <w:lvlJc w:val="left"/>
      <w:pPr>
        <w:ind w:left="5776" w:hanging="1800"/>
      </w:pPr>
      <w:rPr>
        <w:b w:val="0"/>
      </w:rPr>
    </w:lvl>
    <w:lvl w:ilvl="8">
      <w:start w:val="1"/>
      <w:numFmt w:val="decimal"/>
      <w:lvlText w:val="%1.%2.%3.%4.%5.%6.%7.%8.%9."/>
      <w:lvlJc w:val="left"/>
      <w:pPr>
        <w:ind w:left="6344" w:hanging="1800"/>
      </w:pPr>
      <w:rPr>
        <w:b w:val="0"/>
      </w:rPr>
    </w:lvl>
  </w:abstractNum>
  <w:abstractNum w:abstractNumId="41" w15:restartNumberingAfterBreak="0">
    <w:nsid w:val="70D026C2"/>
    <w:multiLevelType w:val="hybridMultilevel"/>
    <w:tmpl w:val="40102EA6"/>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2" w15:restartNumberingAfterBreak="0">
    <w:nsid w:val="781C2C64"/>
    <w:multiLevelType w:val="hybridMultilevel"/>
    <w:tmpl w:val="A4947382"/>
    <w:lvl w:ilvl="0" w:tplc="AE9076A0">
      <w:start w:val="1"/>
      <w:numFmt w:val="lowerLetter"/>
      <w:lvlText w:val="%1."/>
      <w:lvlJc w:val="left"/>
      <w:pPr>
        <w:ind w:left="2160" w:hanging="360"/>
      </w:pPr>
      <w:rPr>
        <w:b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num w:numId="1" w16cid:durableId="5218932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8820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44356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99969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18779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85056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8532713">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98568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6093936">
    <w:abstractNumId w:val="38"/>
  </w:num>
  <w:num w:numId="10" w16cid:durableId="1024208817">
    <w:abstractNumId w:val="15"/>
  </w:num>
  <w:num w:numId="11" w16cid:durableId="413472987">
    <w:abstractNumId w:val="2"/>
  </w:num>
  <w:num w:numId="12" w16cid:durableId="258755179">
    <w:abstractNumId w:val="17"/>
  </w:num>
  <w:num w:numId="13" w16cid:durableId="1593850617">
    <w:abstractNumId w:val="4"/>
  </w:num>
  <w:num w:numId="14" w16cid:durableId="834564366">
    <w:abstractNumId w:val="1"/>
  </w:num>
  <w:num w:numId="15" w16cid:durableId="1792166362">
    <w:abstractNumId w:val="24"/>
  </w:num>
  <w:num w:numId="16" w16cid:durableId="885719906">
    <w:abstractNumId w:val="36"/>
  </w:num>
  <w:num w:numId="17" w16cid:durableId="771362556">
    <w:abstractNumId w:val="42"/>
  </w:num>
  <w:num w:numId="18" w16cid:durableId="108091679">
    <w:abstractNumId w:val="26"/>
  </w:num>
  <w:num w:numId="19" w16cid:durableId="139621428">
    <w:abstractNumId w:val="5"/>
  </w:num>
  <w:num w:numId="20" w16cid:durableId="1857881666">
    <w:abstractNumId w:val="29"/>
  </w:num>
  <w:num w:numId="21" w16cid:durableId="1300958333">
    <w:abstractNumId w:val="27"/>
  </w:num>
  <w:num w:numId="22" w16cid:durableId="1659073041">
    <w:abstractNumId w:val="0"/>
  </w:num>
  <w:num w:numId="23" w16cid:durableId="2146774414">
    <w:abstractNumId w:val="12"/>
  </w:num>
  <w:num w:numId="24" w16cid:durableId="1777600733">
    <w:abstractNumId w:val="39"/>
  </w:num>
  <w:num w:numId="25" w16cid:durableId="1745252608">
    <w:abstractNumId w:val="35"/>
  </w:num>
  <w:num w:numId="26" w16cid:durableId="936595399">
    <w:abstractNumId w:val="18"/>
  </w:num>
  <w:num w:numId="27" w16cid:durableId="1435519338">
    <w:abstractNumId w:val="16"/>
  </w:num>
  <w:num w:numId="28" w16cid:durableId="1111436237">
    <w:abstractNumId w:val="6"/>
  </w:num>
  <w:num w:numId="29" w16cid:durableId="393360782">
    <w:abstractNumId w:val="21"/>
  </w:num>
  <w:num w:numId="30" w16cid:durableId="204606901">
    <w:abstractNumId w:val="33"/>
  </w:num>
  <w:num w:numId="31" w16cid:durableId="344139053">
    <w:abstractNumId w:val="12"/>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972" w:hanging="432"/>
        </w:pPr>
        <w:rPr>
          <w:rFonts w:ascii="Arial" w:hAnsi="Arial" w:cs="Arial" w:hint="default"/>
          <w:b/>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714500256">
    <w:abstractNumId w:val="10"/>
  </w:num>
  <w:num w:numId="33" w16cid:durableId="955257081">
    <w:abstractNumId w:val="28"/>
  </w:num>
  <w:num w:numId="34" w16cid:durableId="1295673635">
    <w:abstractNumId w:val="32"/>
  </w:num>
  <w:num w:numId="35" w16cid:durableId="1584022064">
    <w:abstractNumId w:val="14"/>
  </w:num>
  <w:num w:numId="36" w16cid:durableId="910848345">
    <w:abstractNumId w:val="25"/>
  </w:num>
  <w:num w:numId="37" w16cid:durableId="1442146674">
    <w:abstractNumId w:val="12"/>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720" w:hanging="360"/>
        </w:pPr>
        <w:rPr>
          <w:rFonts w:ascii="Arial" w:hAnsi="Arial" w:cs="Arial" w:hint="default"/>
          <w:b/>
          <w:i w:val="0"/>
          <w:color w:val="auto"/>
          <w:sz w:val="22"/>
          <w:szCs w:val="22"/>
        </w:rPr>
      </w:lvl>
    </w:lvlOverride>
    <w:lvlOverride w:ilvl="2">
      <w:lvl w:ilvl="2">
        <w:start w:val="1"/>
        <w:numFmt w:val="lowerLetter"/>
        <w:lvlText w:val="%3."/>
        <w:lvlJc w:val="left"/>
        <w:pPr>
          <w:ind w:left="1080" w:hanging="36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16cid:durableId="1013335666">
    <w:abstractNumId w:val="13"/>
  </w:num>
  <w:num w:numId="39" w16cid:durableId="32537684">
    <w:abstractNumId w:val="30"/>
  </w:num>
  <w:num w:numId="40" w16cid:durableId="1276138316">
    <w:abstractNumId w:val="12"/>
    <w:lvlOverride w:ilvl="0">
      <w:lvl w:ilvl="0">
        <w:start w:val="1"/>
        <w:numFmt w:val="decimal"/>
        <w:lvlText w:val="%1."/>
        <w:lvlJc w:val="left"/>
        <w:pPr>
          <w:ind w:left="360" w:hanging="360"/>
        </w:pPr>
        <w:rPr>
          <w:rFonts w:ascii="Arial" w:hAnsi="Arial" w:cs="Arial" w:hint="default"/>
          <w:b/>
          <w:i w:val="0"/>
          <w:color w:val="auto"/>
          <w:sz w:val="22"/>
          <w:szCs w:val="22"/>
        </w:rPr>
      </w:lvl>
    </w:lvlOverride>
    <w:lvlOverride w:ilvl="1">
      <w:lvl w:ilvl="1">
        <w:start w:val="1"/>
        <w:numFmt w:val="decimal"/>
        <w:lvlText w:val="%1.%2."/>
        <w:lvlJc w:val="left"/>
        <w:pPr>
          <w:ind w:left="5202" w:hanging="432"/>
        </w:pPr>
        <w:rPr>
          <w:rFonts w:ascii="Arial" w:hAnsi="Arial" w:cs="Arial" w:hint="default"/>
          <w:b/>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16cid:durableId="1229262247">
    <w:abstractNumId w:val="20"/>
  </w:num>
  <w:num w:numId="42" w16cid:durableId="360590383">
    <w:abstractNumId w:val="19"/>
  </w:num>
  <w:num w:numId="43" w16cid:durableId="213742519">
    <w:abstractNumId w:val="9"/>
  </w:num>
  <w:num w:numId="44" w16cid:durableId="1171484997">
    <w:abstractNumId w:val="3"/>
  </w:num>
  <w:num w:numId="45" w16cid:durableId="1125663033">
    <w:abstractNumId w:val="22"/>
  </w:num>
  <w:num w:numId="46" w16cid:durableId="556090683">
    <w:abstractNumId w:val="37"/>
  </w:num>
  <w:num w:numId="47" w16cid:durableId="1260063241">
    <w:abstractNumId w:val="41"/>
  </w:num>
  <w:num w:numId="48" w16cid:durableId="306789966">
    <w:abstractNumId w:val="12"/>
    <w:lvlOverride w:ilvl="0">
      <w:lvl w:ilvl="0">
        <w:start w:val="1"/>
        <w:numFmt w:val="decimal"/>
        <w:lvlText w:val="%1."/>
        <w:lvlJc w:val="left"/>
        <w:pPr>
          <w:ind w:left="360" w:hanging="360"/>
        </w:pPr>
        <w:rPr>
          <w:rFonts w:ascii="Arial" w:hAnsi="Arial" w:cs="Arial" w:hint="default"/>
          <w:b w:val="0"/>
          <w:i w:val="0"/>
          <w:color w:val="auto"/>
          <w:sz w:val="22"/>
          <w:szCs w:val="22"/>
        </w:rPr>
      </w:lvl>
    </w:lvlOverride>
    <w:lvlOverride w:ilvl="1">
      <w:lvl w:ilvl="1">
        <w:start w:val="1"/>
        <w:numFmt w:val="decimal"/>
        <w:lvlText w:val="%1.%2."/>
        <w:lvlJc w:val="left"/>
        <w:pPr>
          <w:ind w:left="5202" w:hanging="432"/>
        </w:pPr>
        <w:rPr>
          <w:rFonts w:ascii="Arial" w:hAnsi="Arial" w:cs="Arial" w:hint="default"/>
          <w:b w:val="0"/>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16cid:durableId="2011323984">
    <w:abstractNumId w:val="12"/>
    <w:lvlOverride w:ilvl="0">
      <w:lvl w:ilvl="0">
        <w:start w:val="1"/>
        <w:numFmt w:val="decimal"/>
        <w:lvlText w:val="%1."/>
        <w:lvlJc w:val="left"/>
        <w:pPr>
          <w:ind w:left="360" w:hanging="360"/>
        </w:pPr>
        <w:rPr>
          <w:rFonts w:ascii="Arial" w:hAnsi="Arial" w:cs="Arial" w:hint="default"/>
          <w:b w:val="0"/>
          <w:i w:val="0"/>
          <w:color w:val="auto"/>
          <w:sz w:val="22"/>
          <w:szCs w:val="22"/>
        </w:rPr>
      </w:lvl>
    </w:lvlOverride>
    <w:lvlOverride w:ilvl="1">
      <w:lvl w:ilvl="1">
        <w:start w:val="1"/>
        <w:numFmt w:val="decimal"/>
        <w:lvlText w:val="%1.%2."/>
        <w:lvlJc w:val="left"/>
        <w:pPr>
          <w:ind w:left="5202" w:hanging="432"/>
        </w:pPr>
        <w:rPr>
          <w:rFonts w:ascii="Arial" w:hAnsi="Arial" w:cs="Arial" w:hint="default"/>
          <w:b w:val="0"/>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16cid:durableId="127686861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kRmxfNlZfPeg/04eDagvyNagyo2sLR7CHQvbNL0JsmuNhEk+OUV5tPS/kJr3r1vOe7LIgZzYXHlQ2qLOaiOLA==" w:salt="X+qqsXy/T6tD/mNGIlc+Aw=="/>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30A"/>
    <w:rsid w:val="00010BF3"/>
    <w:rsid w:val="00040C72"/>
    <w:rsid w:val="000507F5"/>
    <w:rsid w:val="00085A13"/>
    <w:rsid w:val="000B30FE"/>
    <w:rsid w:val="000B60FC"/>
    <w:rsid w:val="00133DFE"/>
    <w:rsid w:val="001359C7"/>
    <w:rsid w:val="00136CA1"/>
    <w:rsid w:val="0016150E"/>
    <w:rsid w:val="00162C28"/>
    <w:rsid w:val="00162D24"/>
    <w:rsid w:val="00164F3C"/>
    <w:rsid w:val="00170C95"/>
    <w:rsid w:val="00173873"/>
    <w:rsid w:val="00174F15"/>
    <w:rsid w:val="001B3DF8"/>
    <w:rsid w:val="001C2A1A"/>
    <w:rsid w:val="001D0E5D"/>
    <w:rsid w:val="001D2526"/>
    <w:rsid w:val="001F63F6"/>
    <w:rsid w:val="00213588"/>
    <w:rsid w:val="00217C74"/>
    <w:rsid w:val="0022101D"/>
    <w:rsid w:val="00232AE2"/>
    <w:rsid w:val="00261AAE"/>
    <w:rsid w:val="00270B06"/>
    <w:rsid w:val="00272CB0"/>
    <w:rsid w:val="00286078"/>
    <w:rsid w:val="00297D77"/>
    <w:rsid w:val="002E1E79"/>
    <w:rsid w:val="00300CEB"/>
    <w:rsid w:val="003114F8"/>
    <w:rsid w:val="00317E0D"/>
    <w:rsid w:val="00332FD0"/>
    <w:rsid w:val="00342D9A"/>
    <w:rsid w:val="003D767B"/>
    <w:rsid w:val="003F4BE6"/>
    <w:rsid w:val="00400DAF"/>
    <w:rsid w:val="00411DE9"/>
    <w:rsid w:val="0041790D"/>
    <w:rsid w:val="00440571"/>
    <w:rsid w:val="00485648"/>
    <w:rsid w:val="00497E6D"/>
    <w:rsid w:val="004A3A50"/>
    <w:rsid w:val="004C2707"/>
    <w:rsid w:val="004C2B95"/>
    <w:rsid w:val="004C6F61"/>
    <w:rsid w:val="004D0FAF"/>
    <w:rsid w:val="004F486E"/>
    <w:rsid w:val="00504D7B"/>
    <w:rsid w:val="00506448"/>
    <w:rsid w:val="00530799"/>
    <w:rsid w:val="00535D7C"/>
    <w:rsid w:val="0055038E"/>
    <w:rsid w:val="00555F44"/>
    <w:rsid w:val="00563E6E"/>
    <w:rsid w:val="0058178A"/>
    <w:rsid w:val="005C18A2"/>
    <w:rsid w:val="005C25FF"/>
    <w:rsid w:val="005C4CC1"/>
    <w:rsid w:val="005E2F38"/>
    <w:rsid w:val="005E42B9"/>
    <w:rsid w:val="005F1249"/>
    <w:rsid w:val="00615761"/>
    <w:rsid w:val="0062023F"/>
    <w:rsid w:val="0062085E"/>
    <w:rsid w:val="006318FB"/>
    <w:rsid w:val="00636983"/>
    <w:rsid w:val="006477FF"/>
    <w:rsid w:val="00653C05"/>
    <w:rsid w:val="006E6ED5"/>
    <w:rsid w:val="00717B21"/>
    <w:rsid w:val="0072541E"/>
    <w:rsid w:val="0074177A"/>
    <w:rsid w:val="00752554"/>
    <w:rsid w:val="0076410A"/>
    <w:rsid w:val="00771848"/>
    <w:rsid w:val="00784E0F"/>
    <w:rsid w:val="00790A5B"/>
    <w:rsid w:val="007A7239"/>
    <w:rsid w:val="007B77A5"/>
    <w:rsid w:val="007D34CA"/>
    <w:rsid w:val="00861054"/>
    <w:rsid w:val="0087492D"/>
    <w:rsid w:val="008A63B4"/>
    <w:rsid w:val="008B4162"/>
    <w:rsid w:val="008F0B26"/>
    <w:rsid w:val="008F50D3"/>
    <w:rsid w:val="009113C0"/>
    <w:rsid w:val="00912BD7"/>
    <w:rsid w:val="00933377"/>
    <w:rsid w:val="00961C48"/>
    <w:rsid w:val="0097466D"/>
    <w:rsid w:val="009750C3"/>
    <w:rsid w:val="0097667F"/>
    <w:rsid w:val="009841CB"/>
    <w:rsid w:val="009900F8"/>
    <w:rsid w:val="00996BD1"/>
    <w:rsid w:val="009A555D"/>
    <w:rsid w:val="009D2E13"/>
    <w:rsid w:val="009E3F50"/>
    <w:rsid w:val="009E4C9B"/>
    <w:rsid w:val="00A16C39"/>
    <w:rsid w:val="00A51FAB"/>
    <w:rsid w:val="00A600B8"/>
    <w:rsid w:val="00A96245"/>
    <w:rsid w:val="00AC421A"/>
    <w:rsid w:val="00B000A9"/>
    <w:rsid w:val="00B03B5E"/>
    <w:rsid w:val="00B05021"/>
    <w:rsid w:val="00B4130A"/>
    <w:rsid w:val="00B43DCA"/>
    <w:rsid w:val="00B503C8"/>
    <w:rsid w:val="00B753DA"/>
    <w:rsid w:val="00B94B21"/>
    <w:rsid w:val="00BB684E"/>
    <w:rsid w:val="00BC1814"/>
    <w:rsid w:val="00C6680C"/>
    <w:rsid w:val="00C805C7"/>
    <w:rsid w:val="00CB743A"/>
    <w:rsid w:val="00CF7629"/>
    <w:rsid w:val="00D00348"/>
    <w:rsid w:val="00D1163E"/>
    <w:rsid w:val="00D20A79"/>
    <w:rsid w:val="00D6221A"/>
    <w:rsid w:val="00DB2F55"/>
    <w:rsid w:val="00DE1165"/>
    <w:rsid w:val="00E07A2E"/>
    <w:rsid w:val="00E140EC"/>
    <w:rsid w:val="00E20F8F"/>
    <w:rsid w:val="00E33F1E"/>
    <w:rsid w:val="00E439A6"/>
    <w:rsid w:val="00E73877"/>
    <w:rsid w:val="00E97375"/>
    <w:rsid w:val="00ED73EE"/>
    <w:rsid w:val="00EF3B61"/>
    <w:rsid w:val="00F02DA0"/>
    <w:rsid w:val="00F1222A"/>
    <w:rsid w:val="00F171A2"/>
    <w:rsid w:val="00F52CAD"/>
    <w:rsid w:val="00F56527"/>
    <w:rsid w:val="00F77D52"/>
    <w:rsid w:val="00F97C93"/>
    <w:rsid w:val="00FB4360"/>
    <w:rsid w:val="00FC1078"/>
    <w:rsid w:val="00FD0090"/>
    <w:rsid w:val="00FE01C6"/>
    <w:rsid w:val="00FE2952"/>
    <w:rsid w:val="00FE7CB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94BD9"/>
  <w15:chartTrackingRefBased/>
  <w15:docId w15:val="{D32D075F-C2D3-4104-B80D-7E65AD5F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30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4130A"/>
    <w:pPr>
      <w:spacing w:after="0" w:line="240" w:lineRule="auto"/>
      <w:jc w:val="center"/>
    </w:pPr>
    <w:rPr>
      <w:rFonts w:ascii="Times New Roman" w:eastAsia="Times New Roman" w:hAnsi="Times New Roman"/>
      <w:b/>
      <w:sz w:val="24"/>
      <w:szCs w:val="20"/>
      <w:lang w:val="en-US"/>
    </w:rPr>
  </w:style>
  <w:style w:type="character" w:customStyle="1" w:styleId="TitleChar">
    <w:name w:val="Title Char"/>
    <w:basedOn w:val="DefaultParagraphFont"/>
    <w:link w:val="Title"/>
    <w:rsid w:val="00B4130A"/>
    <w:rPr>
      <w:rFonts w:ascii="Times New Roman" w:eastAsia="Times New Roman" w:hAnsi="Times New Roman" w:cs="Times New Roman"/>
      <w:b/>
      <w:sz w:val="24"/>
      <w:szCs w:val="20"/>
      <w:lang w:val="en-US"/>
    </w:rPr>
  </w:style>
  <w:style w:type="character" w:customStyle="1" w:styleId="NoSpacingChar">
    <w:name w:val="No Spacing Char"/>
    <w:link w:val="NoSpacing"/>
    <w:uiPriority w:val="1"/>
    <w:locked/>
    <w:rsid w:val="00B4130A"/>
    <w:rPr>
      <w:lang w:eastAsia="ar-SA"/>
    </w:rPr>
  </w:style>
  <w:style w:type="paragraph" w:styleId="NoSpacing">
    <w:name w:val="No Spacing"/>
    <w:link w:val="NoSpacingChar"/>
    <w:uiPriority w:val="1"/>
    <w:qFormat/>
    <w:rsid w:val="00B4130A"/>
    <w:pPr>
      <w:suppressAutoHyphens/>
      <w:spacing w:after="0" w:line="240" w:lineRule="auto"/>
    </w:pPr>
    <w:rPr>
      <w:lang w:eastAsia="ar-SA"/>
    </w:rPr>
  </w:style>
  <w:style w:type="character" w:customStyle="1" w:styleId="ListParagraphChar">
    <w:name w:val="List Paragraph Char"/>
    <w:aliases w:val="Resume Title Char,List Paragraph1 Char,Colorful List - Accent 11 Char"/>
    <w:link w:val="ListParagraph"/>
    <w:uiPriority w:val="34"/>
    <w:qFormat/>
    <w:locked/>
    <w:rsid w:val="00B4130A"/>
    <w:rPr>
      <w:rFonts w:ascii="Times New Roman" w:eastAsia="Times New Roman" w:hAnsi="Times New Roman" w:cs="Times New Roman"/>
      <w:sz w:val="24"/>
      <w:szCs w:val="24"/>
    </w:rPr>
  </w:style>
  <w:style w:type="paragraph" w:styleId="ListParagraph">
    <w:name w:val="List Paragraph"/>
    <w:aliases w:val="Resume Title,List Paragraph1,Colorful List - Accent 11"/>
    <w:basedOn w:val="Normal"/>
    <w:link w:val="ListParagraphChar"/>
    <w:uiPriority w:val="34"/>
    <w:qFormat/>
    <w:rsid w:val="00B4130A"/>
    <w:pPr>
      <w:spacing w:after="0" w:line="240" w:lineRule="auto"/>
      <w:ind w:left="720"/>
    </w:pPr>
    <w:rPr>
      <w:rFonts w:ascii="Times New Roman" w:eastAsia="Times New Roman" w:hAnsi="Times New Roman"/>
      <w:sz w:val="24"/>
      <w:szCs w:val="24"/>
    </w:rPr>
  </w:style>
  <w:style w:type="table" w:styleId="TableGrid">
    <w:name w:val="Table Grid"/>
    <w:basedOn w:val="TableNormal"/>
    <w:uiPriority w:val="39"/>
    <w:rsid w:val="00B4130A"/>
    <w:pPr>
      <w:spacing w:after="0" w:line="240" w:lineRule="auto"/>
    </w:pPr>
    <w:rPr>
      <w:rFonts w:ascii="Calibri" w:eastAsia="Calibri"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1F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FAB"/>
    <w:rPr>
      <w:rFonts w:ascii="Calibri" w:eastAsia="Calibri" w:hAnsi="Calibri" w:cs="Times New Roman"/>
    </w:rPr>
  </w:style>
  <w:style w:type="paragraph" w:styleId="Footer">
    <w:name w:val="footer"/>
    <w:basedOn w:val="Normal"/>
    <w:link w:val="FooterChar"/>
    <w:uiPriority w:val="99"/>
    <w:unhideWhenUsed/>
    <w:rsid w:val="00A51F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FAB"/>
    <w:rPr>
      <w:rFonts w:ascii="Calibri" w:eastAsia="Calibri" w:hAnsi="Calibri" w:cs="Times New Roman"/>
    </w:rPr>
  </w:style>
  <w:style w:type="paragraph" w:styleId="BalloonText">
    <w:name w:val="Balloon Text"/>
    <w:basedOn w:val="Normal"/>
    <w:link w:val="BalloonTextChar"/>
    <w:uiPriority w:val="99"/>
    <w:semiHidden/>
    <w:unhideWhenUsed/>
    <w:rsid w:val="009750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0C3"/>
    <w:rPr>
      <w:rFonts w:ascii="Segoe UI" w:eastAsia="Calibri" w:hAnsi="Segoe UI" w:cs="Segoe UI"/>
      <w:sz w:val="18"/>
      <w:szCs w:val="18"/>
    </w:rPr>
  </w:style>
  <w:style w:type="table" w:customStyle="1" w:styleId="TableGrid1">
    <w:name w:val="Table Grid1"/>
    <w:basedOn w:val="TableNormal"/>
    <w:next w:val="TableGrid"/>
    <w:uiPriority w:val="39"/>
    <w:rsid w:val="005E42B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91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2810</Words>
  <Characters>16019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18792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COA - Philippine Charity Sweepstakes Office</dc:creator>
  <cp:keywords/>
  <dc:description/>
  <cp:lastModifiedBy>Ma. Lourdes M. Angue</cp:lastModifiedBy>
  <cp:revision>8</cp:revision>
  <cp:lastPrinted>2023-07-26T11:18:00Z</cp:lastPrinted>
  <dcterms:created xsi:type="dcterms:W3CDTF">2023-07-26T08:50:00Z</dcterms:created>
  <dcterms:modified xsi:type="dcterms:W3CDTF">2023-07-31T04:31:00Z</dcterms:modified>
</cp:coreProperties>
</file>