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after="0" w:line="240" w:lineRule="auto"/>
        <w:jc w:val="center"/>
        <w:rPr>
          <w:rFonts w:ascii="Arial" w:hAnsi="Arial" w:cs="Arial"/>
          <w:b/>
        </w:rPr>
      </w:pPr>
      <w:bookmarkStart w:id="0" w:name="_GoBack"/>
      <w:bookmarkEnd w:id="0"/>
      <w:r>
        <w:rPr>
          <w:rFonts w:ascii="Arial" w:hAnsi="Arial" w:cs="Arial"/>
          <w:b/>
        </w:rPr>
        <w:t>EXECUTIVE SUMMARY</w:t>
      </w:r>
    </w:p>
    <w:p>
      <w:pPr>
        <w:spacing w:after="0" w:line="240" w:lineRule="auto"/>
        <w:rPr>
          <w:rFonts w:ascii="Arial" w:hAnsi="Arial" w:cs="Arial"/>
          <w:b/>
          <w:sz w:val="20"/>
          <w:szCs w:val="20"/>
        </w:rPr>
      </w:pPr>
    </w:p>
    <w:p>
      <w:pPr>
        <w:spacing w:after="0" w:line="240" w:lineRule="auto"/>
        <w:rPr>
          <w:rFonts w:ascii="Arial" w:hAnsi="Arial" w:cs="Arial"/>
          <w:b/>
          <w:sz w:val="20"/>
          <w:szCs w:val="20"/>
        </w:rPr>
      </w:pPr>
    </w:p>
    <w:p>
      <w:pPr>
        <w:spacing w:after="0" w:line="240" w:lineRule="auto"/>
        <w:rPr>
          <w:rFonts w:ascii="Arial" w:hAnsi="Arial" w:cs="Arial"/>
          <w:b/>
        </w:rPr>
      </w:pPr>
      <w:r>
        <w:rPr>
          <w:rFonts w:ascii="Arial" w:hAnsi="Arial" w:cs="Arial"/>
          <w:b/>
        </w:rPr>
        <w:t>INTRODUCTION</w:t>
      </w:r>
    </w:p>
    <w:p>
      <w:pPr>
        <w:pStyle w:val="ListParagraph"/>
        <w:ind w:left="0" w:firstLine="720"/>
        <w:jc w:val="both"/>
        <w:rPr>
          <w:rFonts w:ascii="Arial" w:eastAsia="Calibri" w:hAnsi="Arial" w:cs="Arial"/>
          <w:sz w:val="20"/>
          <w:szCs w:val="20"/>
        </w:rPr>
      </w:pPr>
    </w:p>
    <w:p>
      <w:pPr>
        <w:spacing w:after="0" w:line="240" w:lineRule="auto"/>
        <w:jc w:val="both"/>
        <w:rPr>
          <w:rFonts w:ascii="Arial" w:hAnsi="Arial" w:cs="Arial"/>
        </w:rPr>
      </w:pPr>
      <w:r>
        <w:rPr>
          <w:rFonts w:ascii="Arial" w:hAnsi="Arial" w:cs="Arial"/>
        </w:rPr>
        <w:t xml:space="preserve">The Philippine Charity Sweepstakes Office (PCSO) is the principal government agency for raising and providing funds for health programs, medical assistance and services, and charities of national character.  It was created under Philippine Legislature Act No. 4130 on October 30, 1934 and later amended by Republic Act No. 1169 in 1954 and Batas </w:t>
      </w:r>
      <w:proofErr w:type="spellStart"/>
      <w:r>
        <w:rPr>
          <w:rFonts w:ascii="Arial" w:hAnsi="Arial" w:cs="Arial"/>
        </w:rPr>
        <w:t>Pambansa</w:t>
      </w:r>
      <w:proofErr w:type="spellEnd"/>
      <w:r>
        <w:rPr>
          <w:rFonts w:ascii="Arial" w:hAnsi="Arial" w:cs="Arial"/>
        </w:rPr>
        <w:t xml:space="preserve"> </w:t>
      </w:r>
      <w:proofErr w:type="spellStart"/>
      <w:r>
        <w:rPr>
          <w:rFonts w:ascii="Arial" w:hAnsi="Arial" w:cs="Arial"/>
        </w:rPr>
        <w:t>Blg</w:t>
      </w:r>
      <w:proofErr w:type="spellEnd"/>
      <w:r>
        <w:rPr>
          <w:rFonts w:ascii="Arial" w:hAnsi="Arial" w:cs="Arial"/>
        </w:rPr>
        <w:t xml:space="preserve">. 42 on September 24, 1979.  </w:t>
      </w:r>
    </w:p>
    <w:p>
      <w:pPr>
        <w:spacing w:after="0" w:line="240" w:lineRule="auto"/>
        <w:rPr>
          <w:rFonts w:ascii="Arial" w:hAnsi="Arial" w:cs="Arial"/>
          <w:sz w:val="20"/>
          <w:szCs w:val="20"/>
        </w:rPr>
      </w:pPr>
    </w:p>
    <w:p>
      <w:pPr>
        <w:spacing w:after="0" w:line="240" w:lineRule="auto"/>
        <w:jc w:val="both"/>
        <w:rPr>
          <w:rFonts w:ascii="Arial" w:hAnsi="Arial" w:cs="Arial"/>
        </w:rPr>
      </w:pPr>
      <w:r>
        <w:rPr>
          <w:rFonts w:ascii="Arial" w:hAnsi="Arial" w:cs="Arial"/>
        </w:rPr>
        <w:t xml:space="preserve">The main programs of the PCSO consist of endowment fund/quality health care, individual medical assistance, community outreach, ambulance donation, national calamity and disaster program, and hospital renovation and improvement of health care facilities. It also gives mandatory contributions to various agencies and institutions and extends regular contributions to charitable institutions engaged in giving welfare services to the children and youth who are either abandoned or exploited, the elderly, and the physically and mentally handicapped, among others. </w:t>
      </w:r>
    </w:p>
    <w:p>
      <w:pPr>
        <w:spacing w:after="0" w:line="240" w:lineRule="auto"/>
        <w:jc w:val="both"/>
        <w:rPr>
          <w:rFonts w:ascii="Arial" w:hAnsi="Arial" w:cs="Arial"/>
        </w:rPr>
      </w:pPr>
    </w:p>
    <w:p>
      <w:pPr>
        <w:spacing w:after="0" w:line="240" w:lineRule="auto"/>
        <w:jc w:val="both"/>
        <w:rPr>
          <w:rFonts w:ascii="Arial" w:hAnsi="Arial" w:cs="Arial"/>
        </w:rPr>
      </w:pPr>
      <w:r>
        <w:rPr>
          <w:rFonts w:ascii="Arial" w:hAnsi="Arial" w:cs="Arial"/>
        </w:rPr>
        <w:t>The PCSO holds and conducts charity sweepstakes, races and lotteries and engages in health and welfare-related investments, projects, and activities to provide for permanent and continuing sources of funds for its programs. Other activities to enhance and expand such fund-generating operations as well as strengthen its fund-management capabilities are also being undertaken by the Agency.</w:t>
      </w:r>
    </w:p>
    <w:p>
      <w:pPr>
        <w:spacing w:after="0" w:line="240" w:lineRule="auto"/>
        <w:rPr>
          <w:rFonts w:ascii="Arial" w:hAnsi="Arial" w:cs="Arial"/>
          <w:sz w:val="20"/>
          <w:szCs w:val="20"/>
        </w:rPr>
      </w:pPr>
    </w:p>
    <w:p>
      <w:pPr>
        <w:spacing w:after="0" w:line="240" w:lineRule="auto"/>
        <w:jc w:val="both"/>
        <w:rPr>
          <w:rFonts w:ascii="Arial" w:hAnsi="Arial" w:cs="Arial"/>
        </w:rPr>
      </w:pPr>
      <w:r>
        <w:rPr>
          <w:rFonts w:ascii="Arial" w:hAnsi="Arial" w:cs="Arial"/>
        </w:rPr>
        <w:t xml:space="preserve">As of December 31, 2021, the Board of Directors of the PCSO is composed of the following: </w:t>
      </w:r>
    </w:p>
    <w:p>
      <w:pPr>
        <w:spacing w:after="0" w:line="240" w:lineRule="auto"/>
        <w:jc w:val="both"/>
        <w:rPr>
          <w:rFonts w:ascii="Arial" w:hAnsi="Arial" w:cs="Arial"/>
          <w:sz w:val="20"/>
          <w:szCs w:val="20"/>
        </w:rPr>
      </w:pPr>
    </w:p>
    <w:p>
      <w:pPr>
        <w:spacing w:after="0" w:line="240" w:lineRule="auto"/>
        <w:ind w:firstLine="720"/>
        <w:jc w:val="both"/>
        <w:rPr>
          <w:rFonts w:ascii="Arial" w:hAnsi="Arial" w:cs="Arial"/>
        </w:rPr>
      </w:pPr>
      <w:proofErr w:type="spellStart"/>
      <w:r>
        <w:rPr>
          <w:rFonts w:ascii="Arial" w:hAnsi="Arial" w:cs="Arial"/>
        </w:rPr>
        <w:t>Anselmo</w:t>
      </w:r>
      <w:proofErr w:type="spellEnd"/>
      <w:r>
        <w:rPr>
          <w:rFonts w:ascii="Arial" w:hAnsi="Arial" w:cs="Arial"/>
        </w:rPr>
        <w:t xml:space="preserve"> Simeon P. </w:t>
      </w:r>
      <w:proofErr w:type="spellStart"/>
      <w:r>
        <w:rPr>
          <w:rFonts w:ascii="Arial" w:hAnsi="Arial" w:cs="Arial"/>
        </w:rPr>
        <w:t>Pinili</w:t>
      </w:r>
      <w:proofErr w:type="spellEnd"/>
      <w:r>
        <w:rPr>
          <w:rFonts w:ascii="Arial" w:hAnsi="Arial" w:cs="Arial"/>
        </w:rPr>
        <w:t xml:space="preserve"> </w:t>
      </w:r>
      <w:r>
        <w:rPr>
          <w:rFonts w:ascii="Arial" w:hAnsi="Arial" w:cs="Arial"/>
        </w:rPr>
        <w:tab/>
        <w:t xml:space="preserve">- </w:t>
      </w:r>
      <w:r>
        <w:rPr>
          <w:rFonts w:ascii="Arial" w:hAnsi="Arial" w:cs="Arial"/>
        </w:rPr>
        <w:tab/>
        <w:t>Chairman</w:t>
      </w:r>
    </w:p>
    <w:p>
      <w:pPr>
        <w:spacing w:after="0" w:line="240" w:lineRule="auto"/>
        <w:ind w:left="720"/>
        <w:jc w:val="both"/>
        <w:rPr>
          <w:rFonts w:ascii="Arial" w:hAnsi="Arial" w:cs="Arial"/>
        </w:rPr>
      </w:pPr>
      <w:proofErr w:type="spellStart"/>
      <w:r>
        <w:rPr>
          <w:rFonts w:ascii="Arial" w:hAnsi="Arial" w:cs="Arial"/>
        </w:rPr>
        <w:t>Royina</w:t>
      </w:r>
      <w:proofErr w:type="spellEnd"/>
      <w:r>
        <w:rPr>
          <w:rFonts w:ascii="Arial" w:hAnsi="Arial" w:cs="Arial"/>
        </w:rPr>
        <w:t xml:space="preserve"> M. </w:t>
      </w:r>
      <w:proofErr w:type="spellStart"/>
      <w:r>
        <w:rPr>
          <w:rFonts w:ascii="Arial" w:hAnsi="Arial" w:cs="Arial"/>
        </w:rPr>
        <w:t>Garma</w:t>
      </w:r>
      <w:proofErr w:type="spellEnd"/>
      <w:r>
        <w:rPr>
          <w:rFonts w:ascii="Arial" w:hAnsi="Arial" w:cs="Arial"/>
        </w:rPr>
        <w:tab/>
      </w:r>
      <w:r>
        <w:rPr>
          <w:rFonts w:ascii="Arial" w:hAnsi="Arial" w:cs="Arial"/>
        </w:rPr>
        <w:tab/>
        <w:t>-</w:t>
      </w:r>
      <w:r>
        <w:rPr>
          <w:rFonts w:ascii="Arial" w:hAnsi="Arial" w:cs="Arial"/>
        </w:rPr>
        <w:tab/>
        <w:t xml:space="preserve">Vice-Chairman and General Manager </w:t>
      </w:r>
    </w:p>
    <w:p>
      <w:pPr>
        <w:spacing w:after="0" w:line="240" w:lineRule="auto"/>
        <w:ind w:left="720"/>
        <w:jc w:val="both"/>
        <w:rPr>
          <w:rFonts w:ascii="Arial" w:hAnsi="Arial" w:cs="Arial"/>
        </w:rPr>
      </w:pPr>
      <w:r>
        <w:rPr>
          <w:rFonts w:ascii="Arial" w:hAnsi="Arial" w:cs="Arial"/>
        </w:rPr>
        <w:t xml:space="preserve">Marlon U. </w:t>
      </w:r>
      <w:proofErr w:type="spellStart"/>
      <w:r>
        <w:rPr>
          <w:rFonts w:ascii="Arial" w:hAnsi="Arial" w:cs="Arial"/>
        </w:rPr>
        <w:t>Balite</w:t>
      </w:r>
      <w:proofErr w:type="spellEnd"/>
      <w:r>
        <w:rPr>
          <w:rFonts w:ascii="Arial" w:hAnsi="Arial" w:cs="Arial"/>
        </w:rPr>
        <w:t xml:space="preserve"> </w:t>
      </w:r>
      <w:r>
        <w:rPr>
          <w:rFonts w:ascii="Arial" w:hAnsi="Arial" w:cs="Arial"/>
        </w:rPr>
        <w:tab/>
      </w:r>
      <w:r>
        <w:rPr>
          <w:rFonts w:ascii="Arial" w:hAnsi="Arial" w:cs="Arial"/>
        </w:rPr>
        <w:tab/>
        <w:t xml:space="preserve">- </w:t>
      </w:r>
      <w:r>
        <w:rPr>
          <w:rFonts w:ascii="Arial" w:hAnsi="Arial" w:cs="Arial"/>
        </w:rPr>
        <w:tab/>
        <w:t>Member</w:t>
      </w:r>
    </w:p>
    <w:p>
      <w:pPr>
        <w:spacing w:after="0" w:line="240" w:lineRule="auto"/>
        <w:ind w:left="720"/>
        <w:jc w:val="both"/>
        <w:rPr>
          <w:rFonts w:ascii="Arial" w:hAnsi="Arial" w:cs="Arial"/>
        </w:rPr>
      </w:pPr>
      <w:r>
        <w:rPr>
          <w:rFonts w:ascii="Arial" w:hAnsi="Arial" w:cs="Arial"/>
        </w:rPr>
        <w:t xml:space="preserve">Sandra M. Cam </w:t>
      </w:r>
      <w:r>
        <w:rPr>
          <w:rFonts w:ascii="Arial" w:hAnsi="Arial" w:cs="Arial"/>
        </w:rPr>
        <w:tab/>
      </w:r>
      <w:r>
        <w:rPr>
          <w:rFonts w:ascii="Arial" w:hAnsi="Arial" w:cs="Arial"/>
        </w:rPr>
        <w:tab/>
        <w:t>-</w:t>
      </w:r>
      <w:r>
        <w:rPr>
          <w:rFonts w:ascii="Arial" w:hAnsi="Arial" w:cs="Arial"/>
        </w:rPr>
        <w:tab/>
        <w:t xml:space="preserve">Member </w:t>
      </w:r>
    </w:p>
    <w:p>
      <w:pPr>
        <w:spacing w:after="0" w:line="240" w:lineRule="auto"/>
        <w:ind w:left="720"/>
        <w:jc w:val="both"/>
        <w:rPr>
          <w:rFonts w:ascii="Arial" w:hAnsi="Arial" w:cs="Arial"/>
        </w:rPr>
      </w:pPr>
      <w:r>
        <w:rPr>
          <w:rFonts w:ascii="Arial" w:hAnsi="Arial" w:cs="Arial"/>
        </w:rPr>
        <w:t xml:space="preserve">Ramon Ike V. </w:t>
      </w:r>
      <w:proofErr w:type="spellStart"/>
      <w:r>
        <w:rPr>
          <w:rFonts w:ascii="Arial" w:hAnsi="Arial" w:cs="Arial"/>
        </w:rPr>
        <w:t>Seῆeres</w:t>
      </w:r>
      <w:proofErr w:type="spellEnd"/>
      <w:r>
        <w:rPr>
          <w:rFonts w:ascii="Arial" w:hAnsi="Arial" w:cs="Arial"/>
        </w:rPr>
        <w:tab/>
        <w:t>-</w:t>
      </w:r>
      <w:r>
        <w:rPr>
          <w:rFonts w:ascii="Arial" w:hAnsi="Arial" w:cs="Arial"/>
        </w:rPr>
        <w:tab/>
        <w:t>Member</w:t>
      </w:r>
    </w:p>
    <w:p>
      <w:pPr>
        <w:spacing w:after="0" w:line="240" w:lineRule="auto"/>
        <w:ind w:left="720"/>
        <w:jc w:val="both"/>
        <w:rPr>
          <w:rFonts w:ascii="Arial" w:hAnsi="Arial" w:cs="Arial"/>
        </w:rPr>
      </w:pPr>
      <w:proofErr w:type="spellStart"/>
      <w:r>
        <w:rPr>
          <w:rFonts w:ascii="Arial" w:hAnsi="Arial" w:cs="Arial"/>
        </w:rPr>
        <w:t>Reymar</w:t>
      </w:r>
      <w:proofErr w:type="spellEnd"/>
      <w:r>
        <w:rPr>
          <w:rFonts w:ascii="Arial" w:hAnsi="Arial" w:cs="Arial"/>
        </w:rPr>
        <w:t xml:space="preserve"> H. Santiago</w:t>
      </w:r>
      <w:r>
        <w:rPr>
          <w:rFonts w:ascii="Arial" w:hAnsi="Arial" w:cs="Arial"/>
        </w:rPr>
        <w:tab/>
      </w:r>
      <w:r>
        <w:rPr>
          <w:rFonts w:ascii="Arial" w:hAnsi="Arial" w:cs="Arial"/>
        </w:rPr>
        <w:tab/>
        <w:t xml:space="preserve">-   </w:t>
      </w:r>
      <w:r>
        <w:rPr>
          <w:rFonts w:ascii="Arial" w:hAnsi="Arial" w:cs="Arial"/>
        </w:rPr>
        <w:tab/>
        <w:t>Board Secretary</w:t>
      </w:r>
    </w:p>
    <w:p>
      <w:pPr>
        <w:spacing w:after="0" w:line="240" w:lineRule="auto"/>
        <w:jc w:val="both"/>
        <w:rPr>
          <w:rFonts w:ascii="Arial" w:hAnsi="Arial" w:cs="Arial"/>
          <w:sz w:val="20"/>
          <w:szCs w:val="20"/>
        </w:rPr>
      </w:pPr>
    </w:p>
    <w:p>
      <w:pPr>
        <w:spacing w:after="0" w:line="240" w:lineRule="auto"/>
        <w:jc w:val="both"/>
        <w:rPr>
          <w:rFonts w:ascii="Arial" w:hAnsi="Arial" w:cs="Arial"/>
          <w:b/>
        </w:rPr>
      </w:pPr>
      <w:r>
        <w:rPr>
          <w:rFonts w:ascii="Arial" w:hAnsi="Arial" w:cs="Arial"/>
        </w:rPr>
        <w:t xml:space="preserve">The total manpower complement of the PCSO as of December 31, 2021 is 1,681, broken down as follows:  </w:t>
      </w:r>
    </w:p>
    <w:p>
      <w:pPr>
        <w:spacing w:after="0" w:line="240" w:lineRule="auto"/>
        <w:ind w:firstLine="720"/>
        <w:jc w:val="both"/>
        <w:rPr>
          <w:rFonts w:ascii="Arial" w:hAnsi="Arial" w:cs="Arial"/>
          <w:sz w:val="20"/>
          <w:szCs w:val="20"/>
        </w:rPr>
      </w:pPr>
    </w:p>
    <w:tbl>
      <w:tblPr>
        <w:tblStyle w:val="TableGrid"/>
        <w:tblW w:w="0" w:type="auto"/>
        <w:tblInd w:w="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7"/>
        <w:gridCol w:w="2130"/>
        <w:gridCol w:w="1957"/>
        <w:gridCol w:w="1688"/>
      </w:tblGrid>
      <w:tr>
        <w:tc>
          <w:tcPr>
            <w:tcW w:w="2757" w:type="dxa"/>
            <w:tcBorders>
              <w:top w:val="single" w:sz="4" w:space="0" w:color="auto"/>
              <w:left w:val="nil"/>
              <w:bottom w:val="single" w:sz="4" w:space="0" w:color="auto"/>
              <w:right w:val="nil"/>
            </w:tcBorders>
            <w:vAlign w:val="center"/>
            <w:hideMark/>
          </w:tcPr>
          <w:p>
            <w:pPr>
              <w:spacing w:after="0" w:line="240" w:lineRule="auto"/>
              <w:ind w:hanging="107"/>
              <w:rPr>
                <w:rFonts w:ascii="Arial Narrow" w:hAnsi="Arial Narrow" w:cs="Arial"/>
                <w:b/>
                <w:bCs/>
                <w:lang w:eastAsia="en-PH"/>
              </w:rPr>
            </w:pPr>
            <w:r>
              <w:rPr>
                <w:rFonts w:ascii="Arial Narrow" w:hAnsi="Arial Narrow" w:cs="Arial"/>
                <w:b/>
                <w:bCs/>
                <w:lang w:eastAsia="en-PH"/>
              </w:rPr>
              <w:t>Particulars</w:t>
            </w:r>
          </w:p>
        </w:tc>
        <w:tc>
          <w:tcPr>
            <w:tcW w:w="2130" w:type="dxa"/>
            <w:tcBorders>
              <w:top w:val="single" w:sz="4" w:space="0" w:color="auto"/>
              <w:left w:val="nil"/>
              <w:bottom w:val="single" w:sz="4" w:space="0" w:color="auto"/>
              <w:right w:val="nil"/>
            </w:tcBorders>
            <w:vAlign w:val="center"/>
            <w:hideMark/>
          </w:tcPr>
          <w:p>
            <w:pPr>
              <w:spacing w:after="0" w:line="240" w:lineRule="auto"/>
              <w:jc w:val="right"/>
              <w:rPr>
                <w:rFonts w:ascii="Arial Narrow" w:hAnsi="Arial Narrow" w:cs="Arial"/>
                <w:b/>
                <w:bCs/>
                <w:lang w:eastAsia="en-PH"/>
              </w:rPr>
            </w:pPr>
            <w:r>
              <w:rPr>
                <w:rFonts w:ascii="Arial Narrow" w:hAnsi="Arial Narrow" w:cs="Arial"/>
                <w:b/>
                <w:bCs/>
                <w:lang w:eastAsia="en-PH"/>
              </w:rPr>
              <w:t>Head Office</w:t>
            </w:r>
          </w:p>
        </w:tc>
        <w:tc>
          <w:tcPr>
            <w:tcW w:w="1957" w:type="dxa"/>
            <w:tcBorders>
              <w:top w:val="single" w:sz="4" w:space="0" w:color="auto"/>
              <w:left w:val="nil"/>
              <w:bottom w:val="single" w:sz="4" w:space="0" w:color="auto"/>
              <w:right w:val="nil"/>
            </w:tcBorders>
            <w:vAlign w:val="center"/>
            <w:hideMark/>
          </w:tcPr>
          <w:p>
            <w:pPr>
              <w:spacing w:after="0" w:line="240" w:lineRule="auto"/>
              <w:jc w:val="right"/>
              <w:rPr>
                <w:rFonts w:ascii="Arial Narrow" w:hAnsi="Arial Narrow" w:cs="Arial"/>
                <w:b/>
                <w:bCs/>
                <w:lang w:eastAsia="en-PH"/>
              </w:rPr>
            </w:pPr>
            <w:r>
              <w:rPr>
                <w:rFonts w:ascii="Arial Narrow" w:hAnsi="Arial Narrow" w:cs="Arial"/>
                <w:b/>
                <w:bCs/>
                <w:lang w:eastAsia="en-PH"/>
              </w:rPr>
              <w:t>Branch Offices</w:t>
            </w:r>
          </w:p>
        </w:tc>
        <w:tc>
          <w:tcPr>
            <w:tcW w:w="1688" w:type="dxa"/>
            <w:tcBorders>
              <w:top w:val="single" w:sz="4" w:space="0" w:color="auto"/>
              <w:left w:val="nil"/>
              <w:bottom w:val="single" w:sz="4" w:space="0" w:color="auto"/>
              <w:right w:val="nil"/>
            </w:tcBorders>
            <w:vAlign w:val="center"/>
            <w:hideMark/>
          </w:tcPr>
          <w:p>
            <w:pPr>
              <w:spacing w:after="0" w:line="240" w:lineRule="auto"/>
              <w:ind w:right="-79"/>
              <w:jc w:val="right"/>
              <w:rPr>
                <w:rFonts w:ascii="Arial Narrow" w:hAnsi="Arial Narrow" w:cs="Arial"/>
                <w:b/>
                <w:bCs/>
                <w:lang w:eastAsia="en-PH"/>
              </w:rPr>
            </w:pPr>
            <w:r>
              <w:rPr>
                <w:rFonts w:ascii="Arial Narrow" w:hAnsi="Arial Narrow" w:cs="Arial"/>
                <w:b/>
                <w:bCs/>
                <w:lang w:eastAsia="en-PH"/>
              </w:rPr>
              <w:t>Total</w:t>
            </w:r>
          </w:p>
        </w:tc>
      </w:tr>
      <w:tr>
        <w:tc>
          <w:tcPr>
            <w:tcW w:w="2757" w:type="dxa"/>
            <w:tcBorders>
              <w:top w:val="single" w:sz="4" w:space="0" w:color="auto"/>
              <w:left w:val="nil"/>
              <w:bottom w:val="nil"/>
              <w:right w:val="nil"/>
            </w:tcBorders>
            <w:vAlign w:val="bottom"/>
            <w:hideMark/>
          </w:tcPr>
          <w:p>
            <w:pPr>
              <w:spacing w:after="0" w:line="240" w:lineRule="auto"/>
              <w:ind w:left="-110"/>
              <w:rPr>
                <w:rFonts w:ascii="Arial Narrow" w:hAnsi="Arial Narrow" w:cs="Arial"/>
                <w:lang w:eastAsia="en-PH"/>
              </w:rPr>
            </w:pPr>
            <w:r>
              <w:rPr>
                <w:rFonts w:ascii="Arial Narrow" w:hAnsi="Arial Narrow" w:cs="Arial"/>
                <w:lang w:eastAsia="en-PH"/>
              </w:rPr>
              <w:t>Permanent employees</w:t>
            </w:r>
          </w:p>
        </w:tc>
        <w:tc>
          <w:tcPr>
            <w:tcW w:w="2130" w:type="dxa"/>
            <w:tcBorders>
              <w:top w:val="single" w:sz="4" w:space="0" w:color="auto"/>
              <w:left w:val="nil"/>
              <w:bottom w:val="nil"/>
              <w:right w:val="nil"/>
            </w:tcBorders>
            <w:vAlign w:val="bottom"/>
            <w:hideMark/>
          </w:tcPr>
          <w:p>
            <w:pPr>
              <w:spacing w:after="0" w:line="240" w:lineRule="auto"/>
              <w:jc w:val="right"/>
              <w:rPr>
                <w:rFonts w:ascii="Arial Narrow" w:hAnsi="Arial Narrow" w:cs="Arial"/>
                <w:bCs/>
                <w:lang w:eastAsia="en-PH"/>
              </w:rPr>
            </w:pPr>
            <w:r>
              <w:rPr>
                <w:rFonts w:ascii="Arial Narrow" w:hAnsi="Arial Narrow" w:cs="Arial"/>
                <w:bCs/>
                <w:lang w:eastAsia="en-PH"/>
              </w:rPr>
              <w:t>551</w:t>
            </w:r>
          </w:p>
        </w:tc>
        <w:tc>
          <w:tcPr>
            <w:tcW w:w="1957" w:type="dxa"/>
            <w:tcBorders>
              <w:top w:val="single" w:sz="4" w:space="0" w:color="auto"/>
              <w:left w:val="nil"/>
              <w:bottom w:val="nil"/>
              <w:right w:val="nil"/>
            </w:tcBorders>
            <w:vAlign w:val="bottom"/>
            <w:hideMark/>
          </w:tcPr>
          <w:p>
            <w:pPr>
              <w:spacing w:after="0" w:line="240" w:lineRule="auto"/>
              <w:jc w:val="right"/>
              <w:rPr>
                <w:rFonts w:ascii="Arial Narrow" w:hAnsi="Arial Narrow" w:cs="Arial"/>
                <w:bCs/>
                <w:lang w:eastAsia="en-PH"/>
              </w:rPr>
            </w:pPr>
            <w:r>
              <w:rPr>
                <w:rFonts w:ascii="Arial Narrow" w:hAnsi="Arial Narrow" w:cs="Arial"/>
                <w:bCs/>
                <w:lang w:eastAsia="en-PH"/>
              </w:rPr>
              <w:t>509</w:t>
            </w:r>
          </w:p>
        </w:tc>
        <w:tc>
          <w:tcPr>
            <w:tcW w:w="1688" w:type="dxa"/>
            <w:tcBorders>
              <w:top w:val="single" w:sz="4" w:space="0" w:color="auto"/>
              <w:left w:val="nil"/>
              <w:bottom w:val="nil"/>
              <w:right w:val="nil"/>
            </w:tcBorders>
            <w:vAlign w:val="bottom"/>
            <w:hideMark/>
          </w:tcPr>
          <w:p>
            <w:pPr>
              <w:spacing w:after="0" w:line="240" w:lineRule="auto"/>
              <w:ind w:right="-110"/>
              <w:jc w:val="right"/>
              <w:rPr>
                <w:rFonts w:ascii="Arial Narrow" w:hAnsi="Arial Narrow" w:cs="Arial"/>
                <w:lang w:eastAsia="en-PH"/>
              </w:rPr>
            </w:pPr>
            <w:r>
              <w:rPr>
                <w:rFonts w:ascii="Arial Narrow" w:hAnsi="Arial Narrow" w:cs="Arial"/>
                <w:lang w:eastAsia="en-PH"/>
              </w:rPr>
              <w:t>1,060</w:t>
            </w:r>
          </w:p>
        </w:tc>
      </w:tr>
      <w:tr>
        <w:tc>
          <w:tcPr>
            <w:tcW w:w="2757" w:type="dxa"/>
            <w:tcBorders>
              <w:top w:val="nil"/>
              <w:left w:val="nil"/>
              <w:bottom w:val="nil"/>
              <w:right w:val="nil"/>
            </w:tcBorders>
            <w:vAlign w:val="bottom"/>
            <w:hideMark/>
          </w:tcPr>
          <w:p>
            <w:pPr>
              <w:spacing w:after="0" w:line="240" w:lineRule="auto"/>
              <w:ind w:left="-110"/>
              <w:rPr>
                <w:rFonts w:ascii="Arial Narrow" w:hAnsi="Arial Narrow" w:cs="Arial"/>
                <w:lang w:eastAsia="en-PH"/>
              </w:rPr>
            </w:pPr>
            <w:r>
              <w:rPr>
                <w:rFonts w:ascii="Arial Narrow" w:hAnsi="Arial Narrow" w:cs="Arial"/>
                <w:lang w:eastAsia="en-PH"/>
              </w:rPr>
              <w:t>Co-</w:t>
            </w:r>
            <w:proofErr w:type="spellStart"/>
            <w:r>
              <w:rPr>
                <w:rFonts w:ascii="Arial Narrow" w:hAnsi="Arial Narrow" w:cs="Arial"/>
                <w:lang w:eastAsia="en-PH"/>
              </w:rPr>
              <w:t>terminous</w:t>
            </w:r>
            <w:proofErr w:type="spellEnd"/>
          </w:p>
        </w:tc>
        <w:tc>
          <w:tcPr>
            <w:tcW w:w="2130" w:type="dxa"/>
            <w:tcBorders>
              <w:top w:val="nil"/>
              <w:left w:val="nil"/>
              <w:bottom w:val="nil"/>
              <w:right w:val="nil"/>
            </w:tcBorders>
            <w:vAlign w:val="bottom"/>
            <w:hideMark/>
          </w:tcPr>
          <w:p>
            <w:pPr>
              <w:spacing w:after="0" w:line="240" w:lineRule="auto"/>
              <w:jc w:val="right"/>
              <w:rPr>
                <w:rFonts w:ascii="Arial Narrow" w:hAnsi="Arial Narrow" w:cs="Arial"/>
                <w:bCs/>
                <w:lang w:eastAsia="en-PH"/>
              </w:rPr>
            </w:pPr>
            <w:r>
              <w:rPr>
                <w:rFonts w:ascii="Arial Narrow" w:hAnsi="Arial Narrow" w:cs="Arial"/>
                <w:bCs/>
                <w:lang w:eastAsia="en-PH"/>
              </w:rPr>
              <w:t>64</w:t>
            </w:r>
          </w:p>
        </w:tc>
        <w:tc>
          <w:tcPr>
            <w:tcW w:w="1957" w:type="dxa"/>
            <w:tcBorders>
              <w:top w:val="nil"/>
              <w:left w:val="nil"/>
              <w:bottom w:val="nil"/>
              <w:right w:val="nil"/>
            </w:tcBorders>
            <w:vAlign w:val="bottom"/>
            <w:hideMark/>
          </w:tcPr>
          <w:p>
            <w:pPr>
              <w:spacing w:after="0" w:line="240" w:lineRule="auto"/>
              <w:jc w:val="right"/>
              <w:rPr>
                <w:rFonts w:ascii="Arial Narrow" w:hAnsi="Arial Narrow" w:cs="Arial"/>
                <w:bCs/>
                <w:lang w:eastAsia="en-PH"/>
              </w:rPr>
            </w:pPr>
            <w:r>
              <w:rPr>
                <w:rFonts w:ascii="Arial Narrow" w:hAnsi="Arial Narrow" w:cs="Arial"/>
                <w:bCs/>
                <w:lang w:eastAsia="en-PH"/>
              </w:rPr>
              <w:t>1</w:t>
            </w:r>
          </w:p>
        </w:tc>
        <w:tc>
          <w:tcPr>
            <w:tcW w:w="1688" w:type="dxa"/>
            <w:tcBorders>
              <w:top w:val="nil"/>
              <w:left w:val="nil"/>
              <w:bottom w:val="nil"/>
              <w:right w:val="nil"/>
            </w:tcBorders>
            <w:vAlign w:val="bottom"/>
            <w:hideMark/>
          </w:tcPr>
          <w:p>
            <w:pPr>
              <w:spacing w:after="0" w:line="240" w:lineRule="auto"/>
              <w:ind w:right="-110"/>
              <w:jc w:val="right"/>
              <w:rPr>
                <w:rFonts w:ascii="Arial Narrow" w:hAnsi="Arial Narrow" w:cs="Arial"/>
                <w:lang w:eastAsia="en-PH"/>
              </w:rPr>
            </w:pPr>
            <w:r>
              <w:rPr>
                <w:rFonts w:ascii="Arial Narrow" w:hAnsi="Arial Narrow" w:cs="Arial"/>
                <w:lang w:eastAsia="en-PH"/>
              </w:rPr>
              <w:t>65</w:t>
            </w:r>
          </w:p>
        </w:tc>
      </w:tr>
      <w:tr>
        <w:tc>
          <w:tcPr>
            <w:tcW w:w="2757" w:type="dxa"/>
            <w:tcBorders>
              <w:top w:val="nil"/>
              <w:left w:val="nil"/>
              <w:bottom w:val="nil"/>
              <w:right w:val="nil"/>
            </w:tcBorders>
            <w:vAlign w:val="bottom"/>
            <w:hideMark/>
          </w:tcPr>
          <w:p>
            <w:pPr>
              <w:spacing w:after="0" w:line="240" w:lineRule="auto"/>
              <w:ind w:left="-110"/>
              <w:rPr>
                <w:rFonts w:ascii="Arial Narrow" w:hAnsi="Arial Narrow" w:cs="Arial"/>
                <w:lang w:eastAsia="en-PH"/>
              </w:rPr>
            </w:pPr>
            <w:r>
              <w:rPr>
                <w:rFonts w:ascii="Arial Narrow" w:hAnsi="Arial Narrow" w:cs="Arial"/>
                <w:lang w:eastAsia="en-PH"/>
              </w:rPr>
              <w:t>Confidential agents</w:t>
            </w:r>
          </w:p>
        </w:tc>
        <w:tc>
          <w:tcPr>
            <w:tcW w:w="2130" w:type="dxa"/>
            <w:tcBorders>
              <w:top w:val="nil"/>
              <w:left w:val="nil"/>
              <w:bottom w:val="nil"/>
              <w:right w:val="nil"/>
            </w:tcBorders>
            <w:vAlign w:val="bottom"/>
            <w:hideMark/>
          </w:tcPr>
          <w:p>
            <w:pPr>
              <w:spacing w:after="0" w:line="240" w:lineRule="auto"/>
              <w:jc w:val="right"/>
              <w:rPr>
                <w:rFonts w:ascii="Arial Narrow" w:hAnsi="Arial Narrow" w:cs="Arial"/>
                <w:bCs/>
                <w:lang w:eastAsia="en-PH"/>
              </w:rPr>
            </w:pPr>
            <w:r>
              <w:rPr>
                <w:rFonts w:ascii="Arial Narrow" w:hAnsi="Arial Narrow" w:cs="Arial"/>
                <w:bCs/>
                <w:lang w:eastAsia="en-PH"/>
              </w:rPr>
              <w:t>93</w:t>
            </w:r>
          </w:p>
        </w:tc>
        <w:tc>
          <w:tcPr>
            <w:tcW w:w="1957" w:type="dxa"/>
            <w:tcBorders>
              <w:top w:val="nil"/>
              <w:left w:val="nil"/>
              <w:bottom w:val="nil"/>
              <w:right w:val="nil"/>
            </w:tcBorders>
            <w:vAlign w:val="bottom"/>
            <w:hideMark/>
          </w:tcPr>
          <w:p>
            <w:pPr>
              <w:spacing w:after="0" w:line="240" w:lineRule="auto"/>
              <w:jc w:val="right"/>
              <w:rPr>
                <w:rFonts w:ascii="Arial Narrow" w:hAnsi="Arial Narrow" w:cs="Arial"/>
                <w:bCs/>
                <w:lang w:eastAsia="en-PH"/>
              </w:rPr>
            </w:pPr>
            <w:r>
              <w:rPr>
                <w:rFonts w:ascii="Arial Narrow" w:hAnsi="Arial Narrow" w:cs="Arial"/>
                <w:bCs/>
                <w:lang w:eastAsia="en-PH"/>
              </w:rPr>
              <w:t>61</w:t>
            </w:r>
          </w:p>
        </w:tc>
        <w:tc>
          <w:tcPr>
            <w:tcW w:w="1688" w:type="dxa"/>
            <w:tcBorders>
              <w:top w:val="nil"/>
              <w:left w:val="nil"/>
              <w:bottom w:val="nil"/>
              <w:right w:val="nil"/>
            </w:tcBorders>
            <w:vAlign w:val="bottom"/>
            <w:hideMark/>
          </w:tcPr>
          <w:p>
            <w:pPr>
              <w:spacing w:after="0" w:line="240" w:lineRule="auto"/>
              <w:ind w:right="-110"/>
              <w:jc w:val="right"/>
              <w:rPr>
                <w:rFonts w:ascii="Arial Narrow" w:hAnsi="Arial Narrow" w:cs="Arial"/>
                <w:lang w:eastAsia="en-PH"/>
              </w:rPr>
            </w:pPr>
            <w:r>
              <w:rPr>
                <w:rFonts w:ascii="Arial Narrow" w:hAnsi="Arial Narrow" w:cs="Arial"/>
                <w:lang w:eastAsia="en-PH"/>
              </w:rPr>
              <w:t>154</w:t>
            </w:r>
          </w:p>
        </w:tc>
      </w:tr>
      <w:tr>
        <w:tc>
          <w:tcPr>
            <w:tcW w:w="2757" w:type="dxa"/>
            <w:tcBorders>
              <w:top w:val="nil"/>
              <w:left w:val="nil"/>
              <w:bottom w:val="nil"/>
              <w:right w:val="nil"/>
            </w:tcBorders>
            <w:vAlign w:val="bottom"/>
            <w:hideMark/>
          </w:tcPr>
          <w:p>
            <w:pPr>
              <w:spacing w:after="0" w:line="240" w:lineRule="auto"/>
              <w:ind w:left="-110"/>
              <w:rPr>
                <w:rFonts w:ascii="Arial Narrow" w:hAnsi="Arial Narrow" w:cs="Arial"/>
                <w:lang w:eastAsia="en-PH"/>
              </w:rPr>
            </w:pPr>
            <w:r>
              <w:rPr>
                <w:rFonts w:ascii="Arial Narrow" w:hAnsi="Arial Narrow" w:cs="Arial"/>
                <w:lang w:eastAsia="en-PH"/>
              </w:rPr>
              <w:t>Consultants</w:t>
            </w:r>
          </w:p>
        </w:tc>
        <w:tc>
          <w:tcPr>
            <w:tcW w:w="2130" w:type="dxa"/>
            <w:tcBorders>
              <w:top w:val="nil"/>
              <w:left w:val="nil"/>
              <w:bottom w:val="nil"/>
              <w:right w:val="nil"/>
            </w:tcBorders>
            <w:vAlign w:val="bottom"/>
            <w:hideMark/>
          </w:tcPr>
          <w:p>
            <w:pPr>
              <w:spacing w:after="0" w:line="240" w:lineRule="auto"/>
              <w:jc w:val="right"/>
              <w:rPr>
                <w:rFonts w:ascii="Arial Narrow" w:hAnsi="Arial Narrow" w:cs="Arial"/>
                <w:bCs/>
                <w:lang w:eastAsia="en-PH"/>
              </w:rPr>
            </w:pPr>
            <w:r>
              <w:rPr>
                <w:rFonts w:ascii="Arial Narrow" w:hAnsi="Arial Narrow" w:cs="Arial"/>
                <w:bCs/>
                <w:lang w:eastAsia="en-PH"/>
              </w:rPr>
              <w:t>36</w:t>
            </w:r>
          </w:p>
        </w:tc>
        <w:tc>
          <w:tcPr>
            <w:tcW w:w="1957" w:type="dxa"/>
            <w:tcBorders>
              <w:top w:val="nil"/>
              <w:left w:val="nil"/>
              <w:bottom w:val="nil"/>
              <w:right w:val="nil"/>
            </w:tcBorders>
            <w:vAlign w:val="bottom"/>
            <w:hideMark/>
          </w:tcPr>
          <w:p>
            <w:pPr>
              <w:spacing w:after="0" w:line="240" w:lineRule="auto"/>
              <w:jc w:val="right"/>
              <w:rPr>
                <w:rFonts w:ascii="Arial Narrow" w:hAnsi="Arial Narrow" w:cs="Arial"/>
                <w:bCs/>
                <w:lang w:eastAsia="en-PH"/>
              </w:rPr>
            </w:pPr>
            <w:r>
              <w:rPr>
                <w:rFonts w:ascii="Arial Narrow" w:hAnsi="Arial Narrow" w:cs="Arial"/>
                <w:bCs/>
                <w:lang w:eastAsia="en-PH"/>
              </w:rPr>
              <w:t>0</w:t>
            </w:r>
          </w:p>
        </w:tc>
        <w:tc>
          <w:tcPr>
            <w:tcW w:w="1688" w:type="dxa"/>
            <w:tcBorders>
              <w:top w:val="nil"/>
              <w:left w:val="nil"/>
              <w:bottom w:val="nil"/>
              <w:right w:val="nil"/>
            </w:tcBorders>
            <w:vAlign w:val="bottom"/>
            <w:hideMark/>
          </w:tcPr>
          <w:p>
            <w:pPr>
              <w:spacing w:after="0" w:line="240" w:lineRule="auto"/>
              <w:ind w:right="-110"/>
              <w:jc w:val="right"/>
              <w:rPr>
                <w:rFonts w:ascii="Arial Narrow" w:hAnsi="Arial Narrow" w:cs="Arial"/>
                <w:lang w:eastAsia="en-PH"/>
              </w:rPr>
            </w:pPr>
            <w:r>
              <w:rPr>
                <w:rFonts w:ascii="Arial Narrow" w:hAnsi="Arial Narrow" w:cs="Arial"/>
                <w:lang w:eastAsia="en-PH"/>
              </w:rPr>
              <w:t>36</w:t>
            </w:r>
          </w:p>
        </w:tc>
      </w:tr>
      <w:tr>
        <w:tc>
          <w:tcPr>
            <w:tcW w:w="2757" w:type="dxa"/>
            <w:tcBorders>
              <w:top w:val="nil"/>
              <w:left w:val="nil"/>
              <w:bottom w:val="single" w:sz="4" w:space="0" w:color="auto"/>
              <w:right w:val="nil"/>
            </w:tcBorders>
            <w:vAlign w:val="bottom"/>
            <w:hideMark/>
          </w:tcPr>
          <w:p>
            <w:pPr>
              <w:spacing w:after="0" w:line="240" w:lineRule="auto"/>
              <w:ind w:left="-110"/>
              <w:rPr>
                <w:rFonts w:ascii="Arial Narrow" w:hAnsi="Arial Narrow" w:cs="Arial"/>
                <w:lang w:eastAsia="en-PH"/>
              </w:rPr>
            </w:pPr>
            <w:r>
              <w:rPr>
                <w:rFonts w:ascii="Arial Narrow" w:hAnsi="Arial Narrow" w:cs="Arial"/>
                <w:lang w:eastAsia="en-PH"/>
              </w:rPr>
              <w:t>Job order</w:t>
            </w:r>
          </w:p>
        </w:tc>
        <w:tc>
          <w:tcPr>
            <w:tcW w:w="2130" w:type="dxa"/>
            <w:tcBorders>
              <w:top w:val="nil"/>
              <w:left w:val="nil"/>
              <w:bottom w:val="single" w:sz="4" w:space="0" w:color="auto"/>
              <w:right w:val="nil"/>
            </w:tcBorders>
            <w:vAlign w:val="bottom"/>
            <w:hideMark/>
          </w:tcPr>
          <w:p>
            <w:pPr>
              <w:spacing w:after="0" w:line="240" w:lineRule="auto"/>
              <w:jc w:val="right"/>
              <w:rPr>
                <w:rFonts w:ascii="Arial Narrow" w:hAnsi="Arial Narrow" w:cs="Arial"/>
                <w:bCs/>
                <w:lang w:eastAsia="en-PH"/>
              </w:rPr>
            </w:pPr>
            <w:r>
              <w:rPr>
                <w:rFonts w:ascii="Arial Narrow" w:hAnsi="Arial Narrow" w:cs="Arial"/>
                <w:bCs/>
                <w:lang w:eastAsia="en-PH"/>
              </w:rPr>
              <w:t>180</w:t>
            </w:r>
          </w:p>
        </w:tc>
        <w:tc>
          <w:tcPr>
            <w:tcW w:w="1957" w:type="dxa"/>
            <w:tcBorders>
              <w:top w:val="nil"/>
              <w:left w:val="nil"/>
              <w:bottom w:val="single" w:sz="4" w:space="0" w:color="auto"/>
              <w:right w:val="nil"/>
            </w:tcBorders>
            <w:vAlign w:val="bottom"/>
            <w:hideMark/>
          </w:tcPr>
          <w:p>
            <w:pPr>
              <w:spacing w:after="0" w:line="240" w:lineRule="auto"/>
              <w:jc w:val="right"/>
              <w:rPr>
                <w:rFonts w:ascii="Arial Narrow" w:hAnsi="Arial Narrow" w:cs="Arial"/>
                <w:bCs/>
                <w:lang w:eastAsia="en-PH"/>
              </w:rPr>
            </w:pPr>
            <w:r>
              <w:rPr>
                <w:rFonts w:ascii="Arial Narrow" w:hAnsi="Arial Narrow" w:cs="Arial"/>
                <w:bCs/>
                <w:lang w:eastAsia="en-PH"/>
              </w:rPr>
              <w:t>186</w:t>
            </w:r>
          </w:p>
        </w:tc>
        <w:tc>
          <w:tcPr>
            <w:tcW w:w="1688" w:type="dxa"/>
            <w:tcBorders>
              <w:top w:val="nil"/>
              <w:left w:val="nil"/>
              <w:bottom w:val="single" w:sz="4" w:space="0" w:color="auto"/>
              <w:right w:val="nil"/>
            </w:tcBorders>
            <w:vAlign w:val="bottom"/>
            <w:hideMark/>
          </w:tcPr>
          <w:p>
            <w:pPr>
              <w:spacing w:after="0" w:line="240" w:lineRule="auto"/>
              <w:ind w:right="-110"/>
              <w:jc w:val="right"/>
              <w:rPr>
                <w:rFonts w:ascii="Arial Narrow" w:hAnsi="Arial Narrow" w:cs="Arial"/>
                <w:lang w:eastAsia="en-PH"/>
              </w:rPr>
            </w:pPr>
            <w:r>
              <w:rPr>
                <w:rFonts w:ascii="Arial Narrow" w:hAnsi="Arial Narrow" w:cs="Arial"/>
                <w:lang w:eastAsia="en-PH"/>
              </w:rPr>
              <w:t>366</w:t>
            </w:r>
          </w:p>
        </w:tc>
      </w:tr>
      <w:tr>
        <w:tc>
          <w:tcPr>
            <w:tcW w:w="2757" w:type="dxa"/>
            <w:tcBorders>
              <w:top w:val="single" w:sz="4" w:space="0" w:color="auto"/>
              <w:left w:val="nil"/>
              <w:bottom w:val="double" w:sz="4" w:space="0" w:color="auto"/>
              <w:right w:val="nil"/>
            </w:tcBorders>
            <w:vAlign w:val="bottom"/>
            <w:hideMark/>
          </w:tcPr>
          <w:p>
            <w:pPr>
              <w:spacing w:after="0" w:line="240" w:lineRule="auto"/>
              <w:ind w:hanging="107"/>
              <w:rPr>
                <w:rFonts w:ascii="Arial Narrow" w:hAnsi="Arial Narrow" w:cs="Arial"/>
                <w:b/>
                <w:bCs/>
                <w:lang w:eastAsia="en-PH"/>
              </w:rPr>
            </w:pPr>
            <w:r>
              <w:rPr>
                <w:rFonts w:ascii="Arial Narrow" w:hAnsi="Arial Narrow" w:cs="Arial"/>
                <w:b/>
                <w:bCs/>
                <w:lang w:eastAsia="en-PH"/>
              </w:rPr>
              <w:t>Total</w:t>
            </w:r>
          </w:p>
        </w:tc>
        <w:tc>
          <w:tcPr>
            <w:tcW w:w="2130" w:type="dxa"/>
            <w:tcBorders>
              <w:top w:val="single" w:sz="4" w:space="0" w:color="auto"/>
              <w:left w:val="nil"/>
              <w:bottom w:val="double" w:sz="4" w:space="0" w:color="auto"/>
              <w:right w:val="nil"/>
            </w:tcBorders>
            <w:vAlign w:val="bottom"/>
            <w:hideMark/>
          </w:tcPr>
          <w:p>
            <w:pPr>
              <w:spacing w:after="0" w:line="240" w:lineRule="auto"/>
              <w:jc w:val="right"/>
              <w:rPr>
                <w:rFonts w:ascii="Arial Narrow" w:hAnsi="Arial Narrow" w:cs="Arial"/>
                <w:b/>
                <w:bCs/>
                <w:lang w:eastAsia="en-PH"/>
              </w:rPr>
            </w:pPr>
            <w:r>
              <w:rPr>
                <w:rFonts w:ascii="Arial Narrow" w:hAnsi="Arial Narrow" w:cs="Arial"/>
                <w:b/>
                <w:bCs/>
                <w:lang w:eastAsia="en-PH"/>
              </w:rPr>
              <w:t>924</w:t>
            </w:r>
          </w:p>
        </w:tc>
        <w:tc>
          <w:tcPr>
            <w:tcW w:w="1957" w:type="dxa"/>
            <w:tcBorders>
              <w:top w:val="single" w:sz="4" w:space="0" w:color="auto"/>
              <w:left w:val="nil"/>
              <w:bottom w:val="double" w:sz="4" w:space="0" w:color="auto"/>
              <w:right w:val="nil"/>
            </w:tcBorders>
            <w:vAlign w:val="bottom"/>
            <w:hideMark/>
          </w:tcPr>
          <w:p>
            <w:pPr>
              <w:spacing w:after="0" w:line="240" w:lineRule="auto"/>
              <w:jc w:val="right"/>
              <w:rPr>
                <w:rFonts w:ascii="Arial Narrow" w:hAnsi="Arial Narrow" w:cs="Arial"/>
                <w:b/>
                <w:bCs/>
                <w:lang w:eastAsia="en-PH"/>
              </w:rPr>
            </w:pPr>
            <w:r>
              <w:rPr>
                <w:rFonts w:ascii="Arial Narrow" w:hAnsi="Arial Narrow" w:cs="Arial"/>
                <w:b/>
                <w:bCs/>
                <w:lang w:eastAsia="en-PH"/>
              </w:rPr>
              <w:t>757</w:t>
            </w:r>
          </w:p>
        </w:tc>
        <w:tc>
          <w:tcPr>
            <w:tcW w:w="1688" w:type="dxa"/>
            <w:tcBorders>
              <w:top w:val="single" w:sz="4" w:space="0" w:color="auto"/>
              <w:left w:val="nil"/>
              <w:bottom w:val="double" w:sz="4" w:space="0" w:color="auto"/>
              <w:right w:val="nil"/>
            </w:tcBorders>
            <w:vAlign w:val="bottom"/>
            <w:hideMark/>
          </w:tcPr>
          <w:p>
            <w:pPr>
              <w:spacing w:after="0" w:line="240" w:lineRule="auto"/>
              <w:ind w:right="-110"/>
              <w:jc w:val="right"/>
              <w:rPr>
                <w:rFonts w:ascii="Arial Narrow" w:hAnsi="Arial Narrow" w:cs="Arial"/>
                <w:b/>
                <w:bCs/>
                <w:lang w:eastAsia="en-PH"/>
              </w:rPr>
            </w:pPr>
            <w:r>
              <w:rPr>
                <w:rFonts w:ascii="Arial Narrow" w:hAnsi="Arial Narrow" w:cs="Arial"/>
                <w:b/>
                <w:bCs/>
                <w:lang w:eastAsia="en-PH"/>
              </w:rPr>
              <w:t>1,681</w:t>
            </w:r>
          </w:p>
        </w:tc>
      </w:tr>
    </w:tbl>
    <w:p>
      <w:pPr>
        <w:spacing w:after="0" w:line="240" w:lineRule="auto"/>
        <w:jc w:val="both"/>
        <w:rPr>
          <w:rFonts w:ascii="Arial" w:hAnsi="Arial" w:cs="Arial"/>
          <w:sz w:val="20"/>
          <w:szCs w:val="20"/>
        </w:rPr>
      </w:pPr>
    </w:p>
    <w:p>
      <w:pPr>
        <w:spacing w:after="0" w:line="240" w:lineRule="auto"/>
        <w:jc w:val="both"/>
        <w:rPr>
          <w:rFonts w:ascii="Arial" w:hAnsi="Arial" w:cs="Arial"/>
        </w:rPr>
      </w:pPr>
      <w:r>
        <w:rPr>
          <w:rFonts w:ascii="Arial" w:hAnsi="Arial" w:cs="Arial"/>
        </w:rPr>
        <w:t xml:space="preserve">The main office of the PCSO is located at the Sun Plaza Building and Conservatory Shaw Plaza Building in </w:t>
      </w:r>
      <w:proofErr w:type="spellStart"/>
      <w:r>
        <w:rPr>
          <w:rFonts w:ascii="Arial" w:hAnsi="Arial" w:cs="Arial"/>
        </w:rPr>
        <w:t>Mandaluyong</w:t>
      </w:r>
      <w:proofErr w:type="spellEnd"/>
      <w:r>
        <w:rPr>
          <w:rFonts w:ascii="Arial" w:hAnsi="Arial" w:cs="Arial"/>
        </w:rPr>
        <w:t xml:space="preserve"> City. It has five branch operation departments, namely: National Capital Region (NCR), Northern and Central Luzon (NCL), Southern Tagalog and Bicol Region (STBR), </w:t>
      </w:r>
      <w:proofErr w:type="spellStart"/>
      <w:r>
        <w:rPr>
          <w:rFonts w:ascii="Arial" w:hAnsi="Arial" w:cs="Arial"/>
        </w:rPr>
        <w:t>Visayas</w:t>
      </w:r>
      <w:proofErr w:type="spellEnd"/>
      <w:r>
        <w:rPr>
          <w:rFonts w:ascii="Arial" w:hAnsi="Arial" w:cs="Arial"/>
        </w:rPr>
        <w:t xml:space="preserve"> and Mindanao.  PCSO has 68 branches nationwide as of December 31, 2021.</w:t>
      </w:r>
    </w:p>
    <w:p>
      <w:pPr>
        <w:spacing w:after="0" w:line="240" w:lineRule="auto"/>
        <w:jc w:val="both"/>
        <w:rPr>
          <w:rFonts w:ascii="Arial" w:hAnsi="Arial" w:cs="Arial"/>
        </w:rPr>
      </w:pPr>
      <w:r>
        <w:rPr>
          <w:rFonts w:ascii="Arial" w:hAnsi="Arial" w:cs="Arial"/>
        </w:rPr>
        <w:lastRenderedPageBreak/>
        <w:t>Proceeds from the sweepstakes draws and the lottery games are the main sources of funds of the PCSO. Various game types have been introduced and other game innovations are constantly being conceptualized.</w:t>
      </w:r>
    </w:p>
    <w:p>
      <w:pPr>
        <w:pStyle w:val="ListParagraph"/>
        <w:ind w:left="0"/>
        <w:jc w:val="both"/>
        <w:rPr>
          <w:rFonts w:ascii="Arial" w:hAnsi="Arial" w:cs="Arial"/>
          <w:sz w:val="19"/>
          <w:szCs w:val="19"/>
        </w:rPr>
      </w:pPr>
    </w:p>
    <w:p>
      <w:pPr>
        <w:spacing w:after="0" w:line="240" w:lineRule="auto"/>
        <w:jc w:val="both"/>
        <w:rPr>
          <w:rFonts w:ascii="Arial" w:hAnsi="Arial" w:cs="Arial"/>
          <w:b/>
          <w:sz w:val="19"/>
          <w:szCs w:val="19"/>
        </w:rPr>
      </w:pPr>
    </w:p>
    <w:p>
      <w:pPr>
        <w:spacing w:after="0" w:line="240" w:lineRule="auto"/>
        <w:jc w:val="both"/>
        <w:rPr>
          <w:rFonts w:ascii="Arial" w:hAnsi="Arial" w:cs="Arial"/>
          <w:b/>
        </w:rPr>
      </w:pPr>
      <w:r>
        <w:rPr>
          <w:rFonts w:ascii="Arial" w:hAnsi="Arial" w:cs="Arial"/>
          <w:b/>
        </w:rPr>
        <w:t>FINANCIAL HIGHLIGHTS (In Philippine Peso)</w:t>
      </w:r>
    </w:p>
    <w:p>
      <w:pPr>
        <w:spacing w:after="0" w:line="240" w:lineRule="auto"/>
        <w:jc w:val="both"/>
        <w:rPr>
          <w:rFonts w:ascii="Arial" w:hAnsi="Arial" w:cs="Arial"/>
          <w:b/>
          <w:sz w:val="19"/>
          <w:szCs w:val="19"/>
        </w:rPr>
      </w:pPr>
    </w:p>
    <w:p>
      <w:pPr>
        <w:pStyle w:val="ListParagraph"/>
        <w:numPr>
          <w:ilvl w:val="0"/>
          <w:numId w:val="1"/>
        </w:numPr>
        <w:ind w:left="567" w:hanging="567"/>
        <w:jc w:val="both"/>
        <w:rPr>
          <w:rFonts w:ascii="Arial" w:hAnsi="Arial" w:cs="Arial"/>
          <w:b/>
          <w:sz w:val="20"/>
          <w:szCs w:val="20"/>
        </w:rPr>
      </w:pPr>
      <w:r>
        <w:rPr>
          <w:rFonts w:ascii="Arial" w:hAnsi="Arial" w:cs="Arial"/>
          <w:b/>
          <w:sz w:val="20"/>
          <w:szCs w:val="20"/>
        </w:rPr>
        <w:t>Financial Position</w:t>
      </w:r>
    </w:p>
    <w:p>
      <w:pPr>
        <w:spacing w:after="0" w:line="240" w:lineRule="auto"/>
        <w:jc w:val="both"/>
        <w:rPr>
          <w:rFonts w:ascii="Arial" w:hAnsi="Arial" w:cs="Arial"/>
          <w:b/>
          <w:sz w:val="20"/>
          <w:szCs w:val="20"/>
        </w:rPr>
      </w:pPr>
    </w:p>
    <w:tbl>
      <w:tblPr>
        <w:tblW w:w="8789" w:type="dxa"/>
        <w:tblLook w:val="04A0" w:firstRow="1" w:lastRow="0" w:firstColumn="1" w:lastColumn="0" w:noHBand="0" w:noVBand="1"/>
      </w:tblPr>
      <w:tblGrid>
        <w:gridCol w:w="4111"/>
        <w:gridCol w:w="1392"/>
        <w:gridCol w:w="1520"/>
        <w:gridCol w:w="1766"/>
      </w:tblGrid>
      <w:tr>
        <w:trPr>
          <w:trHeight w:val="332"/>
        </w:trPr>
        <w:tc>
          <w:tcPr>
            <w:tcW w:w="4111" w:type="dxa"/>
            <w:tcBorders>
              <w:top w:val="single" w:sz="4" w:space="0" w:color="auto"/>
              <w:left w:val="nil"/>
              <w:bottom w:val="single" w:sz="4" w:space="0" w:color="auto"/>
              <w:right w:val="nil"/>
            </w:tcBorders>
            <w:vAlign w:val="bottom"/>
            <w:hideMark/>
          </w:tcPr>
          <w:p>
            <w:pPr>
              <w:rPr>
                <w:rFonts w:ascii="Arial" w:hAnsi="Arial" w:cs="Arial"/>
                <w:b/>
                <w:sz w:val="20"/>
                <w:szCs w:val="20"/>
              </w:rPr>
            </w:pPr>
          </w:p>
        </w:tc>
        <w:tc>
          <w:tcPr>
            <w:tcW w:w="1397" w:type="dxa"/>
            <w:tcBorders>
              <w:top w:val="single" w:sz="4" w:space="0" w:color="auto"/>
              <w:left w:val="nil"/>
              <w:bottom w:val="single" w:sz="4" w:space="0" w:color="auto"/>
              <w:right w:val="nil"/>
            </w:tcBorders>
            <w:vAlign w:val="bottom"/>
            <w:hideMark/>
          </w:tcPr>
          <w:p>
            <w:pPr>
              <w:spacing w:after="0" w:line="240" w:lineRule="auto"/>
              <w:jc w:val="right"/>
              <w:rPr>
                <w:rFonts w:ascii="Arial Narrow" w:eastAsia="Times New Roman" w:hAnsi="Arial Narrow" w:cs="Arial"/>
                <w:b/>
                <w:bCs/>
                <w:sz w:val="20"/>
                <w:szCs w:val="20"/>
                <w:lang w:val="en-US"/>
              </w:rPr>
            </w:pPr>
            <w:r>
              <w:rPr>
                <w:rFonts w:ascii="Arial Narrow" w:eastAsia="Times New Roman" w:hAnsi="Arial Narrow" w:cs="Arial"/>
                <w:b/>
                <w:bCs/>
                <w:sz w:val="20"/>
                <w:szCs w:val="20"/>
                <w:lang w:val="en-US"/>
              </w:rPr>
              <w:t>2021</w:t>
            </w:r>
          </w:p>
        </w:tc>
        <w:tc>
          <w:tcPr>
            <w:tcW w:w="1541" w:type="dxa"/>
            <w:tcBorders>
              <w:top w:val="single" w:sz="4" w:space="0" w:color="auto"/>
              <w:left w:val="nil"/>
              <w:bottom w:val="single" w:sz="4" w:space="0" w:color="auto"/>
              <w:right w:val="nil"/>
            </w:tcBorders>
            <w:vAlign w:val="bottom"/>
            <w:hideMark/>
          </w:tcPr>
          <w:p>
            <w:pPr>
              <w:spacing w:after="0" w:line="240" w:lineRule="auto"/>
              <w:jc w:val="right"/>
              <w:rPr>
                <w:rFonts w:ascii="Arial Narrow" w:eastAsia="Times New Roman" w:hAnsi="Arial Narrow" w:cs="Arial"/>
                <w:b/>
                <w:bCs/>
                <w:sz w:val="20"/>
                <w:szCs w:val="20"/>
                <w:lang w:val="en-US"/>
              </w:rPr>
            </w:pPr>
            <w:r>
              <w:rPr>
                <w:rFonts w:ascii="Arial Narrow" w:eastAsia="Times New Roman" w:hAnsi="Arial Narrow" w:cs="Arial"/>
                <w:b/>
                <w:bCs/>
                <w:sz w:val="20"/>
                <w:szCs w:val="20"/>
                <w:lang w:val="en-US"/>
              </w:rPr>
              <w:t>2020</w:t>
            </w:r>
          </w:p>
          <w:p>
            <w:pPr>
              <w:spacing w:after="0" w:line="240" w:lineRule="auto"/>
              <w:jc w:val="right"/>
              <w:rPr>
                <w:rFonts w:ascii="Arial Narrow" w:eastAsia="Times New Roman" w:hAnsi="Arial Narrow" w:cs="Arial"/>
                <w:b/>
                <w:bCs/>
                <w:sz w:val="20"/>
                <w:szCs w:val="20"/>
                <w:lang w:val="en-US"/>
              </w:rPr>
            </w:pPr>
            <w:r>
              <w:rPr>
                <w:rFonts w:ascii="Arial Narrow" w:eastAsia="Times New Roman" w:hAnsi="Arial Narrow" w:cs="Arial"/>
                <w:b/>
                <w:bCs/>
                <w:sz w:val="20"/>
                <w:szCs w:val="20"/>
                <w:lang w:val="en-US"/>
              </w:rPr>
              <w:t>As Restated</w:t>
            </w:r>
          </w:p>
        </w:tc>
        <w:tc>
          <w:tcPr>
            <w:tcW w:w="1740" w:type="dxa"/>
            <w:tcBorders>
              <w:top w:val="single" w:sz="4" w:space="0" w:color="auto"/>
              <w:left w:val="nil"/>
              <w:bottom w:val="single" w:sz="4" w:space="0" w:color="auto"/>
              <w:right w:val="nil"/>
            </w:tcBorders>
            <w:vAlign w:val="bottom"/>
            <w:hideMark/>
          </w:tcPr>
          <w:p>
            <w:pPr>
              <w:spacing w:after="0" w:line="240" w:lineRule="auto"/>
              <w:ind w:right="-108"/>
              <w:jc w:val="right"/>
              <w:rPr>
                <w:rFonts w:ascii="Arial Narrow" w:eastAsia="Times New Roman" w:hAnsi="Arial Narrow" w:cs="Arial"/>
                <w:b/>
                <w:bCs/>
                <w:sz w:val="20"/>
                <w:szCs w:val="20"/>
                <w:lang w:val="en-US"/>
              </w:rPr>
            </w:pPr>
            <w:r>
              <w:rPr>
                <w:rFonts w:ascii="Arial Narrow" w:eastAsia="Times New Roman" w:hAnsi="Arial Narrow" w:cs="Arial"/>
                <w:b/>
                <w:bCs/>
                <w:sz w:val="20"/>
                <w:szCs w:val="20"/>
                <w:lang w:val="en-US"/>
              </w:rPr>
              <w:t>Increase/(Decrease)</w:t>
            </w:r>
          </w:p>
        </w:tc>
      </w:tr>
      <w:tr>
        <w:trPr>
          <w:trHeight w:val="246"/>
        </w:trPr>
        <w:tc>
          <w:tcPr>
            <w:tcW w:w="4111" w:type="dxa"/>
            <w:noWrap/>
            <w:vAlign w:val="center"/>
            <w:hideMark/>
          </w:tcPr>
          <w:p>
            <w:pPr>
              <w:spacing w:after="0" w:line="240" w:lineRule="auto"/>
              <w:ind w:hanging="93"/>
              <w:rPr>
                <w:rFonts w:ascii="Arial Narrow" w:eastAsia="Times New Roman" w:hAnsi="Arial Narrow" w:cs="Arial"/>
                <w:sz w:val="20"/>
                <w:szCs w:val="20"/>
                <w:lang w:val="en-US"/>
              </w:rPr>
            </w:pPr>
            <w:r>
              <w:rPr>
                <w:rFonts w:ascii="Arial Narrow" w:eastAsia="Times New Roman" w:hAnsi="Arial Narrow" w:cs="Arial"/>
                <w:sz w:val="20"/>
                <w:szCs w:val="20"/>
                <w:lang w:val="en-US"/>
              </w:rPr>
              <w:t>Assets</w:t>
            </w:r>
          </w:p>
        </w:tc>
        <w:tc>
          <w:tcPr>
            <w:tcW w:w="1397" w:type="dxa"/>
            <w:vAlign w:val="center"/>
          </w:tcPr>
          <w:p>
            <w:pPr>
              <w:spacing w:after="0" w:line="240" w:lineRule="auto"/>
              <w:jc w:val="right"/>
              <w:rPr>
                <w:rFonts w:ascii="Arial Narrow" w:eastAsia="Times New Roman" w:hAnsi="Arial Narrow" w:cs="Arial"/>
                <w:sz w:val="20"/>
                <w:szCs w:val="20"/>
                <w:lang w:val="en-US"/>
              </w:rPr>
            </w:pPr>
            <w:r>
              <w:rPr>
                <w:rFonts w:ascii="Arial Narrow" w:eastAsia="Times New Roman" w:hAnsi="Arial Narrow" w:cs="Arial"/>
                <w:sz w:val="20"/>
                <w:szCs w:val="20"/>
                <w:lang w:val="en-US"/>
              </w:rPr>
              <w:t>36,840,254,450</w:t>
            </w:r>
          </w:p>
        </w:tc>
        <w:tc>
          <w:tcPr>
            <w:tcW w:w="1541" w:type="dxa"/>
            <w:vAlign w:val="center"/>
          </w:tcPr>
          <w:p>
            <w:pPr>
              <w:spacing w:after="0" w:line="240" w:lineRule="auto"/>
              <w:jc w:val="right"/>
              <w:rPr>
                <w:rFonts w:ascii="Arial Narrow" w:eastAsia="Times New Roman" w:hAnsi="Arial Narrow" w:cs="Arial"/>
                <w:sz w:val="20"/>
                <w:szCs w:val="20"/>
                <w:lang w:val="en-US"/>
              </w:rPr>
            </w:pPr>
            <w:r>
              <w:rPr>
                <w:rFonts w:ascii="Arial Narrow" w:eastAsia="Times New Roman" w:hAnsi="Arial Narrow" w:cs="Arial"/>
                <w:sz w:val="20"/>
                <w:szCs w:val="20"/>
                <w:lang w:val="en-US"/>
              </w:rPr>
              <w:t>32,126,223,560</w:t>
            </w:r>
          </w:p>
        </w:tc>
        <w:tc>
          <w:tcPr>
            <w:tcW w:w="1740" w:type="dxa"/>
            <w:vAlign w:val="center"/>
          </w:tcPr>
          <w:p>
            <w:pPr>
              <w:spacing w:after="0" w:line="240" w:lineRule="auto"/>
              <w:ind w:right="-108"/>
              <w:jc w:val="right"/>
              <w:rPr>
                <w:rFonts w:ascii="Arial Narrow" w:eastAsia="Times New Roman" w:hAnsi="Arial Narrow" w:cs="Arial"/>
                <w:sz w:val="20"/>
                <w:szCs w:val="20"/>
                <w:lang w:val="en-US"/>
              </w:rPr>
            </w:pPr>
            <w:r>
              <w:rPr>
                <w:rFonts w:ascii="Arial Narrow" w:eastAsia="Times New Roman" w:hAnsi="Arial Narrow" w:cs="Arial"/>
                <w:sz w:val="20"/>
                <w:szCs w:val="20"/>
                <w:lang w:val="en-US"/>
              </w:rPr>
              <w:t>4,714,030,890</w:t>
            </w:r>
          </w:p>
        </w:tc>
      </w:tr>
      <w:tr>
        <w:trPr>
          <w:trHeight w:val="256"/>
        </w:trPr>
        <w:tc>
          <w:tcPr>
            <w:tcW w:w="4111" w:type="dxa"/>
            <w:tcBorders>
              <w:top w:val="nil"/>
              <w:left w:val="nil"/>
              <w:bottom w:val="single" w:sz="4" w:space="0" w:color="auto"/>
              <w:right w:val="nil"/>
            </w:tcBorders>
            <w:noWrap/>
            <w:vAlign w:val="center"/>
            <w:hideMark/>
          </w:tcPr>
          <w:p>
            <w:pPr>
              <w:spacing w:after="0" w:line="240" w:lineRule="auto"/>
              <w:ind w:hanging="93"/>
              <w:rPr>
                <w:rFonts w:ascii="Arial Narrow" w:eastAsia="Times New Roman" w:hAnsi="Arial Narrow" w:cs="Arial"/>
                <w:sz w:val="20"/>
                <w:szCs w:val="20"/>
                <w:lang w:val="en-US"/>
              </w:rPr>
            </w:pPr>
            <w:r>
              <w:rPr>
                <w:rFonts w:ascii="Arial Narrow" w:eastAsia="Times New Roman" w:hAnsi="Arial Narrow" w:cs="Arial"/>
                <w:sz w:val="20"/>
                <w:szCs w:val="20"/>
                <w:lang w:val="en-US"/>
              </w:rPr>
              <w:t>Liabilities</w:t>
            </w:r>
          </w:p>
        </w:tc>
        <w:tc>
          <w:tcPr>
            <w:tcW w:w="1397" w:type="dxa"/>
            <w:tcBorders>
              <w:top w:val="nil"/>
              <w:left w:val="nil"/>
              <w:bottom w:val="single" w:sz="4" w:space="0" w:color="auto"/>
              <w:right w:val="nil"/>
            </w:tcBorders>
            <w:vAlign w:val="center"/>
          </w:tcPr>
          <w:p>
            <w:pPr>
              <w:spacing w:after="0" w:line="240" w:lineRule="auto"/>
              <w:jc w:val="right"/>
              <w:rPr>
                <w:rFonts w:ascii="Arial Narrow" w:eastAsia="Times New Roman" w:hAnsi="Arial Narrow" w:cs="Arial"/>
                <w:sz w:val="20"/>
                <w:szCs w:val="20"/>
                <w:lang w:val="en-US"/>
              </w:rPr>
            </w:pPr>
            <w:r>
              <w:rPr>
                <w:rFonts w:ascii="Arial Narrow" w:eastAsia="Times New Roman" w:hAnsi="Arial Narrow" w:cs="Arial"/>
                <w:sz w:val="20"/>
                <w:szCs w:val="20"/>
                <w:lang w:val="en-US"/>
              </w:rPr>
              <w:t>20,173,851,533</w:t>
            </w:r>
          </w:p>
        </w:tc>
        <w:tc>
          <w:tcPr>
            <w:tcW w:w="1541" w:type="dxa"/>
            <w:tcBorders>
              <w:top w:val="nil"/>
              <w:left w:val="nil"/>
              <w:bottom w:val="single" w:sz="4" w:space="0" w:color="auto"/>
              <w:right w:val="nil"/>
            </w:tcBorders>
            <w:vAlign w:val="center"/>
          </w:tcPr>
          <w:p>
            <w:pPr>
              <w:spacing w:after="0" w:line="240" w:lineRule="auto"/>
              <w:jc w:val="right"/>
              <w:rPr>
                <w:rFonts w:ascii="Arial Narrow" w:eastAsia="Times New Roman" w:hAnsi="Arial Narrow" w:cs="Arial"/>
                <w:sz w:val="20"/>
                <w:szCs w:val="20"/>
                <w:lang w:val="en-US"/>
              </w:rPr>
            </w:pPr>
            <w:r>
              <w:rPr>
                <w:rFonts w:ascii="Arial Narrow" w:eastAsia="Times New Roman" w:hAnsi="Arial Narrow" w:cs="Arial"/>
                <w:sz w:val="20"/>
                <w:szCs w:val="20"/>
                <w:lang w:val="en-US"/>
              </w:rPr>
              <w:t>15,990,275,844</w:t>
            </w:r>
          </w:p>
        </w:tc>
        <w:tc>
          <w:tcPr>
            <w:tcW w:w="1740" w:type="dxa"/>
            <w:tcBorders>
              <w:top w:val="nil"/>
              <w:left w:val="nil"/>
              <w:bottom w:val="single" w:sz="4" w:space="0" w:color="auto"/>
              <w:right w:val="nil"/>
            </w:tcBorders>
            <w:vAlign w:val="center"/>
          </w:tcPr>
          <w:p>
            <w:pPr>
              <w:spacing w:after="0" w:line="240" w:lineRule="auto"/>
              <w:ind w:right="-108"/>
              <w:jc w:val="right"/>
              <w:rPr>
                <w:rFonts w:ascii="Arial Narrow" w:eastAsia="Times New Roman" w:hAnsi="Arial Narrow" w:cs="Arial"/>
                <w:sz w:val="20"/>
                <w:szCs w:val="20"/>
                <w:lang w:val="en-US"/>
              </w:rPr>
            </w:pPr>
            <w:r>
              <w:rPr>
                <w:rFonts w:ascii="Arial Narrow" w:eastAsia="Times New Roman" w:hAnsi="Arial Narrow" w:cs="Arial"/>
                <w:sz w:val="20"/>
                <w:szCs w:val="20"/>
                <w:lang w:val="en-US"/>
              </w:rPr>
              <w:t>4,183,575,689</w:t>
            </w:r>
          </w:p>
        </w:tc>
      </w:tr>
      <w:tr>
        <w:trPr>
          <w:trHeight w:val="179"/>
        </w:trPr>
        <w:tc>
          <w:tcPr>
            <w:tcW w:w="4111" w:type="dxa"/>
            <w:tcBorders>
              <w:top w:val="single" w:sz="4" w:space="0" w:color="auto"/>
              <w:left w:val="nil"/>
              <w:bottom w:val="double" w:sz="4" w:space="0" w:color="auto"/>
              <w:right w:val="nil"/>
            </w:tcBorders>
            <w:noWrap/>
            <w:vAlign w:val="center"/>
            <w:hideMark/>
          </w:tcPr>
          <w:p>
            <w:pPr>
              <w:spacing w:after="0" w:line="240" w:lineRule="auto"/>
              <w:ind w:hanging="93"/>
              <w:rPr>
                <w:rFonts w:ascii="Arial Narrow" w:eastAsia="Times New Roman" w:hAnsi="Arial Narrow" w:cs="Arial"/>
                <w:b/>
                <w:sz w:val="20"/>
                <w:szCs w:val="20"/>
                <w:lang w:val="en-US"/>
              </w:rPr>
            </w:pPr>
            <w:r>
              <w:rPr>
                <w:rFonts w:ascii="Arial Narrow" w:eastAsia="Times New Roman" w:hAnsi="Arial Narrow" w:cs="Arial"/>
                <w:b/>
                <w:sz w:val="20"/>
                <w:szCs w:val="20"/>
                <w:lang w:val="en-US"/>
              </w:rPr>
              <w:t>Equity</w:t>
            </w:r>
          </w:p>
        </w:tc>
        <w:tc>
          <w:tcPr>
            <w:tcW w:w="1397" w:type="dxa"/>
            <w:tcBorders>
              <w:top w:val="single" w:sz="4" w:space="0" w:color="auto"/>
              <w:left w:val="nil"/>
              <w:bottom w:val="double" w:sz="4" w:space="0" w:color="auto"/>
              <w:right w:val="nil"/>
            </w:tcBorders>
            <w:vAlign w:val="center"/>
          </w:tcPr>
          <w:p>
            <w:pPr>
              <w:spacing w:after="0" w:line="240" w:lineRule="auto"/>
              <w:jc w:val="right"/>
              <w:rPr>
                <w:rFonts w:ascii="Arial Narrow" w:eastAsia="Times New Roman" w:hAnsi="Arial Narrow" w:cs="Arial"/>
                <w:b/>
                <w:sz w:val="20"/>
                <w:szCs w:val="20"/>
                <w:lang w:val="en-US"/>
              </w:rPr>
            </w:pPr>
            <w:r>
              <w:rPr>
                <w:rFonts w:ascii="Arial Narrow" w:eastAsia="Times New Roman" w:hAnsi="Arial Narrow" w:cs="Arial"/>
                <w:b/>
                <w:sz w:val="20"/>
                <w:szCs w:val="20"/>
                <w:lang w:val="en-US"/>
              </w:rPr>
              <w:t>16,666,402,917</w:t>
            </w:r>
          </w:p>
        </w:tc>
        <w:tc>
          <w:tcPr>
            <w:tcW w:w="1541" w:type="dxa"/>
            <w:tcBorders>
              <w:top w:val="single" w:sz="4" w:space="0" w:color="auto"/>
              <w:left w:val="nil"/>
              <w:bottom w:val="double" w:sz="4" w:space="0" w:color="auto"/>
              <w:right w:val="nil"/>
            </w:tcBorders>
            <w:vAlign w:val="center"/>
          </w:tcPr>
          <w:p>
            <w:pPr>
              <w:spacing w:after="0" w:line="240" w:lineRule="auto"/>
              <w:jc w:val="right"/>
              <w:rPr>
                <w:rFonts w:ascii="Arial Narrow" w:eastAsia="Times New Roman" w:hAnsi="Arial Narrow" w:cs="Arial"/>
                <w:b/>
                <w:sz w:val="20"/>
                <w:szCs w:val="20"/>
                <w:lang w:val="en-US"/>
              </w:rPr>
            </w:pPr>
            <w:r>
              <w:rPr>
                <w:rFonts w:ascii="Arial Narrow" w:eastAsia="Times New Roman" w:hAnsi="Arial Narrow" w:cs="Arial"/>
                <w:b/>
                <w:sz w:val="20"/>
                <w:szCs w:val="20"/>
                <w:lang w:val="en-US"/>
              </w:rPr>
              <w:t>16,135,947,716</w:t>
            </w:r>
          </w:p>
        </w:tc>
        <w:tc>
          <w:tcPr>
            <w:tcW w:w="1740" w:type="dxa"/>
            <w:tcBorders>
              <w:top w:val="single" w:sz="4" w:space="0" w:color="auto"/>
              <w:left w:val="nil"/>
              <w:bottom w:val="double" w:sz="4" w:space="0" w:color="auto"/>
              <w:right w:val="nil"/>
            </w:tcBorders>
            <w:vAlign w:val="center"/>
          </w:tcPr>
          <w:p>
            <w:pPr>
              <w:spacing w:after="0" w:line="240" w:lineRule="auto"/>
              <w:ind w:right="-108"/>
              <w:jc w:val="right"/>
              <w:rPr>
                <w:rFonts w:ascii="Arial Narrow" w:eastAsia="Times New Roman" w:hAnsi="Arial Narrow" w:cs="Arial"/>
                <w:b/>
                <w:sz w:val="20"/>
                <w:szCs w:val="20"/>
                <w:lang w:val="en-US"/>
              </w:rPr>
            </w:pPr>
            <w:r>
              <w:rPr>
                <w:rFonts w:ascii="Arial Narrow" w:eastAsia="Times New Roman" w:hAnsi="Arial Narrow" w:cs="Arial"/>
                <w:b/>
                <w:sz w:val="20"/>
                <w:szCs w:val="20"/>
                <w:lang w:val="en-US"/>
              </w:rPr>
              <w:t>530,455,201</w:t>
            </w:r>
          </w:p>
        </w:tc>
      </w:tr>
    </w:tbl>
    <w:p>
      <w:pPr>
        <w:pStyle w:val="ListParagraph"/>
        <w:jc w:val="both"/>
        <w:rPr>
          <w:rFonts w:ascii="Arial Narrow" w:hAnsi="Arial Narrow" w:cs="Arial"/>
          <w:b/>
          <w:sz w:val="20"/>
          <w:szCs w:val="20"/>
          <w:lang w:val="en-US"/>
        </w:rPr>
      </w:pPr>
    </w:p>
    <w:p>
      <w:pPr>
        <w:pStyle w:val="ListParagraph"/>
        <w:numPr>
          <w:ilvl w:val="0"/>
          <w:numId w:val="1"/>
        </w:numPr>
        <w:ind w:left="567" w:hanging="567"/>
        <w:jc w:val="both"/>
        <w:rPr>
          <w:rFonts w:ascii="Arial" w:hAnsi="Arial" w:cs="Arial"/>
          <w:b/>
          <w:sz w:val="20"/>
          <w:szCs w:val="20"/>
        </w:rPr>
      </w:pPr>
      <w:r>
        <w:rPr>
          <w:rFonts w:ascii="Arial" w:hAnsi="Arial" w:cs="Arial"/>
          <w:b/>
          <w:sz w:val="20"/>
          <w:szCs w:val="20"/>
        </w:rPr>
        <w:t>Comprehensive Income</w:t>
      </w:r>
    </w:p>
    <w:p>
      <w:pPr>
        <w:spacing w:after="0" w:line="240" w:lineRule="auto"/>
        <w:jc w:val="both"/>
        <w:rPr>
          <w:rFonts w:ascii="Arial Narrow" w:hAnsi="Arial Narrow" w:cs="Arial"/>
          <w:b/>
          <w:sz w:val="20"/>
          <w:szCs w:val="20"/>
        </w:rPr>
      </w:pPr>
    </w:p>
    <w:tbl>
      <w:tblPr>
        <w:tblW w:w="8789" w:type="dxa"/>
        <w:tblLook w:val="04A0" w:firstRow="1" w:lastRow="0" w:firstColumn="1" w:lastColumn="0" w:noHBand="0" w:noVBand="1"/>
      </w:tblPr>
      <w:tblGrid>
        <w:gridCol w:w="4016"/>
        <w:gridCol w:w="1515"/>
        <w:gridCol w:w="1515"/>
        <w:gridCol w:w="1743"/>
      </w:tblGrid>
      <w:tr>
        <w:trPr>
          <w:trHeight w:val="481"/>
        </w:trPr>
        <w:tc>
          <w:tcPr>
            <w:tcW w:w="4016" w:type="dxa"/>
            <w:tcBorders>
              <w:top w:val="single" w:sz="4" w:space="0" w:color="auto"/>
              <w:left w:val="nil"/>
              <w:bottom w:val="single" w:sz="4" w:space="0" w:color="auto"/>
              <w:right w:val="nil"/>
            </w:tcBorders>
            <w:vAlign w:val="bottom"/>
            <w:hideMark/>
          </w:tcPr>
          <w:p>
            <w:pPr>
              <w:rPr>
                <w:rFonts w:ascii="Arial Narrow" w:hAnsi="Arial Narrow" w:cs="Arial"/>
                <w:b/>
                <w:sz w:val="20"/>
                <w:szCs w:val="20"/>
              </w:rPr>
            </w:pPr>
          </w:p>
        </w:tc>
        <w:tc>
          <w:tcPr>
            <w:tcW w:w="1515" w:type="dxa"/>
            <w:tcBorders>
              <w:top w:val="single" w:sz="4" w:space="0" w:color="auto"/>
              <w:left w:val="nil"/>
              <w:bottom w:val="single" w:sz="4" w:space="0" w:color="auto"/>
              <w:right w:val="nil"/>
            </w:tcBorders>
            <w:vAlign w:val="bottom"/>
            <w:hideMark/>
          </w:tcPr>
          <w:p>
            <w:pPr>
              <w:spacing w:after="0" w:line="240" w:lineRule="auto"/>
              <w:jc w:val="right"/>
              <w:rPr>
                <w:rFonts w:ascii="Arial Narrow" w:eastAsia="Times New Roman" w:hAnsi="Arial Narrow" w:cs="Arial"/>
                <w:b/>
                <w:bCs/>
                <w:sz w:val="20"/>
                <w:szCs w:val="20"/>
                <w:lang w:val="en-US"/>
              </w:rPr>
            </w:pPr>
            <w:r>
              <w:rPr>
                <w:rFonts w:ascii="Arial Narrow" w:eastAsia="Times New Roman" w:hAnsi="Arial Narrow" w:cs="Arial"/>
                <w:b/>
                <w:bCs/>
                <w:sz w:val="20"/>
                <w:szCs w:val="20"/>
                <w:lang w:val="en-US"/>
              </w:rPr>
              <w:t>2021</w:t>
            </w:r>
          </w:p>
        </w:tc>
        <w:tc>
          <w:tcPr>
            <w:tcW w:w="1515" w:type="dxa"/>
            <w:tcBorders>
              <w:top w:val="single" w:sz="4" w:space="0" w:color="auto"/>
              <w:left w:val="nil"/>
              <w:bottom w:val="single" w:sz="4" w:space="0" w:color="auto"/>
              <w:right w:val="nil"/>
            </w:tcBorders>
            <w:vAlign w:val="bottom"/>
            <w:hideMark/>
          </w:tcPr>
          <w:p>
            <w:pPr>
              <w:spacing w:after="0" w:line="240" w:lineRule="auto"/>
              <w:jc w:val="right"/>
              <w:rPr>
                <w:rFonts w:ascii="Arial Narrow" w:eastAsia="Times New Roman" w:hAnsi="Arial Narrow" w:cs="Arial"/>
                <w:b/>
                <w:bCs/>
                <w:sz w:val="20"/>
                <w:szCs w:val="20"/>
                <w:lang w:val="en-US"/>
              </w:rPr>
            </w:pPr>
            <w:r>
              <w:rPr>
                <w:rFonts w:ascii="Arial Narrow" w:eastAsia="Times New Roman" w:hAnsi="Arial Narrow" w:cs="Arial"/>
                <w:b/>
                <w:bCs/>
                <w:sz w:val="20"/>
                <w:szCs w:val="20"/>
                <w:lang w:val="en-US"/>
              </w:rPr>
              <w:t>2020</w:t>
            </w:r>
          </w:p>
          <w:p>
            <w:pPr>
              <w:spacing w:after="0" w:line="240" w:lineRule="auto"/>
              <w:jc w:val="right"/>
              <w:rPr>
                <w:rFonts w:ascii="Arial Narrow" w:eastAsia="Times New Roman" w:hAnsi="Arial Narrow" w:cs="Arial"/>
                <w:b/>
                <w:bCs/>
                <w:sz w:val="20"/>
                <w:szCs w:val="20"/>
                <w:lang w:val="en-US"/>
              </w:rPr>
            </w:pPr>
            <w:r>
              <w:rPr>
                <w:rFonts w:ascii="Arial Narrow" w:eastAsia="Times New Roman" w:hAnsi="Arial Narrow" w:cs="Arial"/>
                <w:b/>
                <w:bCs/>
                <w:sz w:val="20"/>
                <w:szCs w:val="20"/>
                <w:lang w:val="en-US"/>
              </w:rPr>
              <w:t>As Restated</w:t>
            </w:r>
          </w:p>
        </w:tc>
        <w:tc>
          <w:tcPr>
            <w:tcW w:w="1743" w:type="dxa"/>
            <w:tcBorders>
              <w:top w:val="single" w:sz="4" w:space="0" w:color="auto"/>
              <w:left w:val="nil"/>
              <w:bottom w:val="single" w:sz="4" w:space="0" w:color="auto"/>
              <w:right w:val="nil"/>
            </w:tcBorders>
            <w:vAlign w:val="bottom"/>
            <w:hideMark/>
          </w:tcPr>
          <w:p>
            <w:pPr>
              <w:spacing w:after="0" w:line="240" w:lineRule="auto"/>
              <w:ind w:right="-104" w:hanging="23"/>
              <w:jc w:val="right"/>
              <w:rPr>
                <w:rFonts w:ascii="Arial Narrow" w:eastAsia="Times New Roman" w:hAnsi="Arial Narrow" w:cs="Arial"/>
                <w:b/>
                <w:bCs/>
                <w:sz w:val="20"/>
                <w:szCs w:val="20"/>
                <w:lang w:val="en-US"/>
              </w:rPr>
            </w:pPr>
            <w:r>
              <w:rPr>
                <w:rFonts w:ascii="Arial Narrow" w:eastAsia="Times New Roman" w:hAnsi="Arial Narrow" w:cs="Arial"/>
                <w:b/>
                <w:bCs/>
                <w:sz w:val="20"/>
                <w:szCs w:val="20"/>
                <w:lang w:val="en-US"/>
              </w:rPr>
              <w:t>Increase/(Decrease)</w:t>
            </w:r>
          </w:p>
        </w:tc>
      </w:tr>
      <w:tr>
        <w:trPr>
          <w:trHeight w:val="188"/>
        </w:trPr>
        <w:tc>
          <w:tcPr>
            <w:tcW w:w="4016" w:type="dxa"/>
            <w:noWrap/>
            <w:vAlign w:val="bottom"/>
            <w:hideMark/>
          </w:tcPr>
          <w:p>
            <w:pPr>
              <w:suppressAutoHyphens/>
              <w:snapToGrid w:val="0"/>
              <w:spacing w:after="0" w:line="240" w:lineRule="auto"/>
              <w:ind w:hanging="93"/>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Total income</w:t>
            </w:r>
          </w:p>
        </w:tc>
        <w:tc>
          <w:tcPr>
            <w:tcW w:w="1515" w:type="dxa"/>
            <w:vAlign w:val="bottom"/>
          </w:tcPr>
          <w:p>
            <w:pPr>
              <w:spacing w:after="0" w:line="240" w:lineRule="auto"/>
              <w:jc w:val="right"/>
              <w:rPr>
                <w:rFonts w:ascii="Arial Narrow" w:hAnsi="Arial Narrow" w:cs="Arial"/>
                <w:sz w:val="20"/>
                <w:szCs w:val="20"/>
                <w:lang w:val="en-US"/>
              </w:rPr>
            </w:pPr>
            <w:r>
              <w:rPr>
                <w:rFonts w:ascii="Arial Narrow" w:hAnsi="Arial Narrow" w:cs="Arial"/>
                <w:sz w:val="20"/>
                <w:szCs w:val="20"/>
                <w:lang w:val="en-US"/>
              </w:rPr>
              <w:t>43,701,111,560</w:t>
            </w:r>
          </w:p>
        </w:tc>
        <w:tc>
          <w:tcPr>
            <w:tcW w:w="1515" w:type="dxa"/>
            <w:vAlign w:val="bottom"/>
          </w:tcPr>
          <w:p>
            <w:pPr>
              <w:spacing w:after="0" w:line="240" w:lineRule="auto"/>
              <w:jc w:val="right"/>
              <w:rPr>
                <w:rFonts w:ascii="Arial Narrow" w:hAnsi="Arial Narrow" w:cs="Arial"/>
                <w:sz w:val="20"/>
                <w:szCs w:val="20"/>
                <w:lang w:val="en-US"/>
              </w:rPr>
            </w:pPr>
            <w:r>
              <w:rPr>
                <w:rFonts w:ascii="Arial Narrow" w:hAnsi="Arial Narrow" w:cs="Arial"/>
                <w:sz w:val="20"/>
                <w:szCs w:val="20"/>
                <w:lang w:val="en-US"/>
              </w:rPr>
              <w:t>19,468,099,999</w:t>
            </w:r>
          </w:p>
        </w:tc>
        <w:tc>
          <w:tcPr>
            <w:tcW w:w="1743" w:type="dxa"/>
            <w:vAlign w:val="bottom"/>
          </w:tcPr>
          <w:p>
            <w:pPr>
              <w:spacing w:after="0" w:line="240" w:lineRule="auto"/>
              <w:ind w:right="-104"/>
              <w:jc w:val="right"/>
              <w:rPr>
                <w:rFonts w:ascii="Arial Narrow" w:hAnsi="Arial Narrow" w:cs="Arial"/>
                <w:sz w:val="20"/>
                <w:szCs w:val="20"/>
                <w:lang w:val="en-US"/>
              </w:rPr>
            </w:pPr>
            <w:r>
              <w:rPr>
                <w:rFonts w:ascii="Arial Narrow" w:hAnsi="Arial Narrow" w:cs="Arial"/>
                <w:sz w:val="20"/>
                <w:szCs w:val="20"/>
                <w:lang w:val="en-US"/>
              </w:rPr>
              <w:t>24,233,011,561</w:t>
            </w:r>
          </w:p>
        </w:tc>
      </w:tr>
      <w:tr>
        <w:trPr>
          <w:trHeight w:val="234"/>
        </w:trPr>
        <w:tc>
          <w:tcPr>
            <w:tcW w:w="4016" w:type="dxa"/>
            <w:tcBorders>
              <w:top w:val="nil"/>
              <w:left w:val="nil"/>
              <w:bottom w:val="single" w:sz="4" w:space="0" w:color="auto"/>
              <w:right w:val="nil"/>
            </w:tcBorders>
            <w:noWrap/>
            <w:vAlign w:val="bottom"/>
            <w:hideMark/>
          </w:tcPr>
          <w:p>
            <w:pPr>
              <w:suppressAutoHyphens/>
              <w:snapToGrid w:val="0"/>
              <w:spacing w:after="0" w:line="240" w:lineRule="auto"/>
              <w:ind w:hanging="93"/>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Total operating expenses</w:t>
            </w:r>
          </w:p>
        </w:tc>
        <w:tc>
          <w:tcPr>
            <w:tcW w:w="1515" w:type="dxa"/>
            <w:tcBorders>
              <w:top w:val="nil"/>
              <w:left w:val="nil"/>
              <w:bottom w:val="single" w:sz="4" w:space="0" w:color="auto"/>
              <w:right w:val="nil"/>
            </w:tcBorders>
            <w:vAlign w:val="bottom"/>
          </w:tcPr>
          <w:p>
            <w:pPr>
              <w:spacing w:after="0" w:line="240" w:lineRule="auto"/>
              <w:jc w:val="right"/>
              <w:rPr>
                <w:rFonts w:ascii="Arial Narrow" w:hAnsi="Arial Narrow" w:cs="Arial"/>
                <w:sz w:val="20"/>
                <w:szCs w:val="20"/>
                <w:lang w:val="en-US"/>
              </w:rPr>
            </w:pPr>
            <w:r>
              <w:rPr>
                <w:rFonts w:ascii="Arial Narrow" w:hAnsi="Arial Narrow" w:cs="Arial"/>
                <w:sz w:val="20"/>
                <w:szCs w:val="20"/>
                <w:lang w:val="en-US"/>
              </w:rPr>
              <w:t>34,304,942,321</w:t>
            </w:r>
          </w:p>
        </w:tc>
        <w:tc>
          <w:tcPr>
            <w:tcW w:w="1515" w:type="dxa"/>
            <w:tcBorders>
              <w:top w:val="nil"/>
              <w:left w:val="nil"/>
              <w:bottom w:val="single" w:sz="4" w:space="0" w:color="auto"/>
              <w:right w:val="nil"/>
            </w:tcBorders>
            <w:vAlign w:val="bottom"/>
          </w:tcPr>
          <w:p>
            <w:pPr>
              <w:spacing w:after="0" w:line="240" w:lineRule="auto"/>
              <w:jc w:val="right"/>
              <w:rPr>
                <w:rFonts w:ascii="Arial Narrow" w:hAnsi="Arial Narrow" w:cs="Arial"/>
                <w:sz w:val="20"/>
                <w:szCs w:val="20"/>
                <w:lang w:val="en-US"/>
              </w:rPr>
            </w:pPr>
            <w:r>
              <w:rPr>
                <w:rFonts w:ascii="Arial Narrow" w:hAnsi="Arial Narrow" w:cs="Arial"/>
                <w:sz w:val="20"/>
                <w:szCs w:val="20"/>
                <w:lang w:val="en-US"/>
              </w:rPr>
              <w:t>14,725,817,304</w:t>
            </w:r>
          </w:p>
        </w:tc>
        <w:tc>
          <w:tcPr>
            <w:tcW w:w="1743" w:type="dxa"/>
            <w:tcBorders>
              <w:top w:val="nil"/>
              <w:left w:val="nil"/>
              <w:bottom w:val="single" w:sz="4" w:space="0" w:color="auto"/>
              <w:right w:val="nil"/>
            </w:tcBorders>
            <w:vAlign w:val="bottom"/>
          </w:tcPr>
          <w:p>
            <w:pPr>
              <w:spacing w:after="0" w:line="240" w:lineRule="auto"/>
              <w:ind w:right="-104"/>
              <w:jc w:val="right"/>
              <w:rPr>
                <w:rFonts w:ascii="Arial Narrow" w:hAnsi="Arial Narrow" w:cs="Arial"/>
                <w:sz w:val="20"/>
                <w:szCs w:val="20"/>
                <w:lang w:val="en-US"/>
              </w:rPr>
            </w:pPr>
            <w:r>
              <w:rPr>
                <w:rFonts w:ascii="Arial Narrow" w:hAnsi="Arial Narrow" w:cs="Arial"/>
                <w:sz w:val="20"/>
                <w:szCs w:val="20"/>
                <w:lang w:val="en-US"/>
              </w:rPr>
              <w:t>19,579,125,017</w:t>
            </w:r>
          </w:p>
        </w:tc>
      </w:tr>
      <w:tr>
        <w:trPr>
          <w:trHeight w:val="161"/>
        </w:trPr>
        <w:tc>
          <w:tcPr>
            <w:tcW w:w="4016" w:type="dxa"/>
            <w:tcBorders>
              <w:top w:val="single" w:sz="4" w:space="0" w:color="auto"/>
              <w:left w:val="nil"/>
              <w:bottom w:val="nil"/>
              <w:right w:val="nil"/>
            </w:tcBorders>
            <w:noWrap/>
            <w:vAlign w:val="bottom"/>
            <w:hideMark/>
          </w:tcPr>
          <w:p>
            <w:pPr>
              <w:suppressAutoHyphens/>
              <w:snapToGrid w:val="0"/>
              <w:spacing w:after="0" w:line="240" w:lineRule="auto"/>
              <w:ind w:hanging="93"/>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Profit/ (loss) before tax</w:t>
            </w:r>
          </w:p>
        </w:tc>
        <w:tc>
          <w:tcPr>
            <w:tcW w:w="1515" w:type="dxa"/>
            <w:tcBorders>
              <w:top w:val="single" w:sz="4" w:space="0" w:color="auto"/>
              <w:left w:val="nil"/>
              <w:bottom w:val="nil"/>
              <w:right w:val="nil"/>
            </w:tcBorders>
            <w:vAlign w:val="bottom"/>
          </w:tcPr>
          <w:p>
            <w:pPr>
              <w:spacing w:after="0" w:line="240" w:lineRule="auto"/>
              <w:jc w:val="right"/>
              <w:rPr>
                <w:rFonts w:ascii="Arial Narrow" w:hAnsi="Arial Narrow" w:cs="Arial"/>
                <w:bCs/>
                <w:sz w:val="20"/>
                <w:szCs w:val="20"/>
                <w:lang w:val="en-US"/>
              </w:rPr>
            </w:pPr>
            <w:r>
              <w:rPr>
                <w:rFonts w:ascii="Arial Narrow" w:hAnsi="Arial Narrow" w:cs="Arial"/>
                <w:bCs/>
                <w:sz w:val="20"/>
                <w:szCs w:val="20"/>
                <w:lang w:val="en-US"/>
              </w:rPr>
              <w:t>9,396,169,239</w:t>
            </w:r>
          </w:p>
        </w:tc>
        <w:tc>
          <w:tcPr>
            <w:tcW w:w="1515" w:type="dxa"/>
            <w:tcBorders>
              <w:top w:val="single" w:sz="4" w:space="0" w:color="auto"/>
              <w:left w:val="nil"/>
              <w:bottom w:val="nil"/>
              <w:right w:val="nil"/>
            </w:tcBorders>
            <w:vAlign w:val="bottom"/>
          </w:tcPr>
          <w:p>
            <w:pPr>
              <w:spacing w:after="0" w:line="240" w:lineRule="auto"/>
              <w:jc w:val="right"/>
              <w:rPr>
                <w:rFonts w:ascii="Arial Narrow" w:hAnsi="Arial Narrow" w:cs="Arial"/>
                <w:bCs/>
                <w:sz w:val="20"/>
                <w:szCs w:val="20"/>
                <w:lang w:val="en-US"/>
              </w:rPr>
            </w:pPr>
            <w:r>
              <w:rPr>
                <w:rFonts w:ascii="Arial Narrow" w:hAnsi="Arial Narrow" w:cs="Arial"/>
                <w:bCs/>
                <w:sz w:val="20"/>
                <w:szCs w:val="20"/>
                <w:lang w:val="en-US"/>
              </w:rPr>
              <w:t>4,742,282,695</w:t>
            </w:r>
          </w:p>
        </w:tc>
        <w:tc>
          <w:tcPr>
            <w:tcW w:w="1743" w:type="dxa"/>
            <w:tcBorders>
              <w:top w:val="single" w:sz="4" w:space="0" w:color="auto"/>
              <w:left w:val="nil"/>
              <w:bottom w:val="nil"/>
              <w:right w:val="nil"/>
            </w:tcBorders>
            <w:vAlign w:val="bottom"/>
          </w:tcPr>
          <w:p>
            <w:pPr>
              <w:spacing w:after="0" w:line="240" w:lineRule="auto"/>
              <w:ind w:right="-104"/>
              <w:jc w:val="right"/>
              <w:rPr>
                <w:rFonts w:ascii="Arial Narrow" w:hAnsi="Arial Narrow" w:cs="Arial"/>
                <w:sz w:val="20"/>
                <w:szCs w:val="20"/>
                <w:lang w:val="en-US"/>
              </w:rPr>
            </w:pPr>
            <w:r>
              <w:rPr>
                <w:rFonts w:ascii="Arial Narrow" w:hAnsi="Arial Narrow" w:cs="Arial"/>
                <w:sz w:val="20"/>
                <w:szCs w:val="20"/>
                <w:lang w:val="en-US"/>
              </w:rPr>
              <w:t>4,653,886,544</w:t>
            </w:r>
          </w:p>
        </w:tc>
      </w:tr>
      <w:tr>
        <w:trPr>
          <w:trHeight w:val="198"/>
        </w:trPr>
        <w:tc>
          <w:tcPr>
            <w:tcW w:w="4016" w:type="dxa"/>
            <w:noWrap/>
            <w:vAlign w:val="bottom"/>
            <w:hideMark/>
          </w:tcPr>
          <w:p>
            <w:pPr>
              <w:suppressAutoHyphens/>
              <w:snapToGrid w:val="0"/>
              <w:spacing w:after="0" w:line="240" w:lineRule="auto"/>
              <w:ind w:hanging="93"/>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Income tax expense/benefit</w:t>
            </w:r>
          </w:p>
        </w:tc>
        <w:tc>
          <w:tcPr>
            <w:tcW w:w="1515" w:type="dxa"/>
            <w:vAlign w:val="bottom"/>
          </w:tcPr>
          <w:p>
            <w:pPr>
              <w:spacing w:after="0" w:line="240" w:lineRule="auto"/>
              <w:jc w:val="right"/>
              <w:rPr>
                <w:rFonts w:ascii="Arial Narrow" w:hAnsi="Arial Narrow" w:cs="Arial"/>
                <w:sz w:val="20"/>
                <w:szCs w:val="20"/>
                <w:lang w:val="en-US"/>
              </w:rPr>
            </w:pPr>
            <w:r>
              <w:rPr>
                <w:rFonts w:ascii="Arial Narrow" w:hAnsi="Arial Narrow" w:cs="Arial"/>
                <w:sz w:val="20"/>
                <w:szCs w:val="20"/>
                <w:lang w:val="en-US"/>
              </w:rPr>
              <w:t>1,014,577,043</w:t>
            </w:r>
          </w:p>
        </w:tc>
        <w:tc>
          <w:tcPr>
            <w:tcW w:w="1515" w:type="dxa"/>
            <w:vAlign w:val="bottom"/>
          </w:tcPr>
          <w:p>
            <w:pPr>
              <w:spacing w:after="0" w:line="240" w:lineRule="auto"/>
              <w:jc w:val="right"/>
              <w:rPr>
                <w:rFonts w:ascii="Arial Narrow" w:hAnsi="Arial Narrow" w:cs="Arial"/>
                <w:sz w:val="20"/>
                <w:szCs w:val="20"/>
                <w:lang w:val="en-US"/>
              </w:rPr>
            </w:pPr>
            <w:r>
              <w:rPr>
                <w:rFonts w:ascii="Arial Narrow" w:hAnsi="Arial Narrow" w:cs="Arial"/>
                <w:sz w:val="20"/>
                <w:szCs w:val="20"/>
                <w:lang w:val="en-US"/>
              </w:rPr>
              <w:t>134,417,618</w:t>
            </w:r>
          </w:p>
        </w:tc>
        <w:tc>
          <w:tcPr>
            <w:tcW w:w="1743" w:type="dxa"/>
            <w:vAlign w:val="bottom"/>
          </w:tcPr>
          <w:p>
            <w:pPr>
              <w:spacing w:after="0" w:line="240" w:lineRule="auto"/>
              <w:ind w:right="-104"/>
              <w:jc w:val="right"/>
              <w:rPr>
                <w:rFonts w:ascii="Arial Narrow" w:hAnsi="Arial Narrow" w:cs="Arial"/>
                <w:sz w:val="20"/>
                <w:szCs w:val="20"/>
                <w:lang w:val="en-US"/>
              </w:rPr>
            </w:pPr>
            <w:r>
              <w:rPr>
                <w:rFonts w:ascii="Arial Narrow" w:hAnsi="Arial Narrow" w:cs="Arial"/>
                <w:sz w:val="20"/>
                <w:szCs w:val="20"/>
                <w:lang w:val="en-US"/>
              </w:rPr>
              <w:t>880,159,425</w:t>
            </w:r>
          </w:p>
        </w:tc>
      </w:tr>
      <w:tr>
        <w:trPr>
          <w:trHeight w:val="153"/>
        </w:trPr>
        <w:tc>
          <w:tcPr>
            <w:tcW w:w="4016" w:type="dxa"/>
            <w:tcBorders>
              <w:top w:val="nil"/>
              <w:left w:val="nil"/>
              <w:bottom w:val="single" w:sz="4" w:space="0" w:color="auto"/>
              <w:right w:val="nil"/>
            </w:tcBorders>
            <w:noWrap/>
            <w:vAlign w:val="bottom"/>
            <w:hideMark/>
          </w:tcPr>
          <w:p>
            <w:pPr>
              <w:suppressAutoHyphens/>
              <w:snapToGrid w:val="0"/>
              <w:spacing w:after="0" w:line="240" w:lineRule="auto"/>
              <w:ind w:hanging="93"/>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Income tax expense/benefit – deferred</w:t>
            </w:r>
          </w:p>
        </w:tc>
        <w:tc>
          <w:tcPr>
            <w:tcW w:w="1515" w:type="dxa"/>
            <w:tcBorders>
              <w:top w:val="nil"/>
              <w:left w:val="nil"/>
              <w:bottom w:val="single" w:sz="4" w:space="0" w:color="auto"/>
              <w:right w:val="nil"/>
            </w:tcBorders>
            <w:vAlign w:val="bottom"/>
          </w:tcPr>
          <w:p>
            <w:pPr>
              <w:spacing w:after="0" w:line="240" w:lineRule="auto"/>
              <w:jc w:val="right"/>
              <w:rPr>
                <w:rFonts w:ascii="Arial Narrow" w:hAnsi="Arial Narrow" w:cs="Arial"/>
                <w:sz w:val="20"/>
                <w:szCs w:val="20"/>
                <w:lang w:val="en-US"/>
              </w:rPr>
            </w:pPr>
            <w:r>
              <w:rPr>
                <w:rFonts w:ascii="Arial Narrow" w:hAnsi="Arial Narrow" w:cs="Arial"/>
                <w:sz w:val="20"/>
                <w:szCs w:val="20"/>
                <w:lang w:val="en-US"/>
              </w:rPr>
              <w:t>(64,246,726)</w:t>
            </w:r>
          </w:p>
        </w:tc>
        <w:tc>
          <w:tcPr>
            <w:tcW w:w="1515" w:type="dxa"/>
            <w:tcBorders>
              <w:top w:val="nil"/>
              <w:left w:val="nil"/>
              <w:bottom w:val="single" w:sz="4" w:space="0" w:color="auto"/>
              <w:right w:val="nil"/>
            </w:tcBorders>
            <w:vAlign w:val="bottom"/>
          </w:tcPr>
          <w:p>
            <w:pPr>
              <w:spacing w:after="0" w:line="240" w:lineRule="auto"/>
              <w:jc w:val="right"/>
              <w:rPr>
                <w:rFonts w:ascii="Arial Narrow" w:hAnsi="Arial Narrow" w:cs="Arial"/>
                <w:sz w:val="20"/>
                <w:szCs w:val="20"/>
                <w:lang w:val="en-US"/>
              </w:rPr>
            </w:pPr>
            <w:r>
              <w:rPr>
                <w:rFonts w:ascii="Arial Narrow" w:hAnsi="Arial Narrow" w:cs="Arial"/>
                <w:sz w:val="20"/>
                <w:szCs w:val="20"/>
                <w:lang w:val="en-US"/>
              </w:rPr>
              <w:t>112,744,245</w:t>
            </w:r>
          </w:p>
        </w:tc>
        <w:tc>
          <w:tcPr>
            <w:tcW w:w="1743" w:type="dxa"/>
            <w:tcBorders>
              <w:top w:val="nil"/>
              <w:left w:val="nil"/>
              <w:bottom w:val="single" w:sz="4" w:space="0" w:color="auto"/>
              <w:right w:val="nil"/>
            </w:tcBorders>
            <w:vAlign w:val="bottom"/>
          </w:tcPr>
          <w:p>
            <w:pPr>
              <w:spacing w:after="0" w:line="240" w:lineRule="auto"/>
              <w:ind w:right="-104"/>
              <w:jc w:val="right"/>
              <w:rPr>
                <w:rFonts w:ascii="Arial Narrow" w:hAnsi="Arial Narrow" w:cs="Arial"/>
                <w:sz w:val="20"/>
                <w:szCs w:val="20"/>
                <w:lang w:val="en-US"/>
              </w:rPr>
            </w:pPr>
            <w:r>
              <w:rPr>
                <w:rFonts w:ascii="Arial Narrow" w:hAnsi="Arial Narrow" w:cs="Arial"/>
                <w:sz w:val="20"/>
                <w:szCs w:val="20"/>
                <w:lang w:val="en-US"/>
              </w:rPr>
              <w:t>(176,990,971)</w:t>
            </w:r>
          </w:p>
        </w:tc>
      </w:tr>
      <w:tr>
        <w:trPr>
          <w:trHeight w:val="179"/>
        </w:trPr>
        <w:tc>
          <w:tcPr>
            <w:tcW w:w="4016" w:type="dxa"/>
            <w:tcBorders>
              <w:top w:val="single" w:sz="4" w:space="0" w:color="auto"/>
              <w:left w:val="nil"/>
              <w:bottom w:val="nil"/>
              <w:right w:val="nil"/>
            </w:tcBorders>
            <w:noWrap/>
            <w:vAlign w:val="bottom"/>
            <w:hideMark/>
          </w:tcPr>
          <w:p>
            <w:pPr>
              <w:suppressAutoHyphens/>
              <w:snapToGrid w:val="0"/>
              <w:spacing w:after="0" w:line="240" w:lineRule="auto"/>
              <w:ind w:hanging="93"/>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Profit/(loss) after tax</w:t>
            </w:r>
          </w:p>
        </w:tc>
        <w:tc>
          <w:tcPr>
            <w:tcW w:w="1515" w:type="dxa"/>
            <w:tcBorders>
              <w:top w:val="single" w:sz="4" w:space="0" w:color="auto"/>
              <w:left w:val="nil"/>
              <w:bottom w:val="nil"/>
              <w:right w:val="nil"/>
            </w:tcBorders>
            <w:vAlign w:val="bottom"/>
          </w:tcPr>
          <w:p>
            <w:pPr>
              <w:spacing w:after="0" w:line="240" w:lineRule="auto"/>
              <w:jc w:val="right"/>
              <w:rPr>
                <w:rFonts w:ascii="Arial Narrow" w:hAnsi="Arial Narrow" w:cs="Arial"/>
                <w:bCs/>
                <w:sz w:val="20"/>
                <w:szCs w:val="20"/>
                <w:lang w:val="en-US"/>
              </w:rPr>
            </w:pPr>
            <w:r>
              <w:rPr>
                <w:rFonts w:ascii="Arial Narrow" w:hAnsi="Arial Narrow" w:cs="Arial"/>
                <w:bCs/>
                <w:sz w:val="20"/>
                <w:szCs w:val="20"/>
                <w:lang w:val="en-US"/>
              </w:rPr>
              <w:t>8,445,838,922</w:t>
            </w:r>
          </w:p>
        </w:tc>
        <w:tc>
          <w:tcPr>
            <w:tcW w:w="1515" w:type="dxa"/>
            <w:tcBorders>
              <w:top w:val="single" w:sz="4" w:space="0" w:color="auto"/>
              <w:left w:val="nil"/>
              <w:bottom w:val="nil"/>
              <w:right w:val="nil"/>
            </w:tcBorders>
            <w:vAlign w:val="bottom"/>
          </w:tcPr>
          <w:p>
            <w:pPr>
              <w:spacing w:after="0" w:line="240" w:lineRule="auto"/>
              <w:jc w:val="right"/>
              <w:rPr>
                <w:rFonts w:ascii="Arial Narrow" w:hAnsi="Arial Narrow" w:cs="Arial"/>
                <w:bCs/>
                <w:sz w:val="20"/>
                <w:szCs w:val="20"/>
                <w:lang w:val="en-US"/>
              </w:rPr>
            </w:pPr>
            <w:r>
              <w:rPr>
                <w:rFonts w:ascii="Arial Narrow" w:hAnsi="Arial Narrow" w:cs="Arial"/>
                <w:bCs/>
                <w:sz w:val="20"/>
                <w:szCs w:val="20"/>
                <w:lang w:val="en-US"/>
              </w:rPr>
              <w:t>4,495,120,832</w:t>
            </w:r>
          </w:p>
        </w:tc>
        <w:tc>
          <w:tcPr>
            <w:tcW w:w="1743" w:type="dxa"/>
            <w:tcBorders>
              <w:top w:val="single" w:sz="4" w:space="0" w:color="auto"/>
              <w:left w:val="nil"/>
              <w:bottom w:val="nil"/>
              <w:right w:val="nil"/>
            </w:tcBorders>
            <w:vAlign w:val="bottom"/>
          </w:tcPr>
          <w:p>
            <w:pPr>
              <w:spacing w:after="0" w:line="240" w:lineRule="auto"/>
              <w:ind w:right="-104"/>
              <w:jc w:val="right"/>
              <w:rPr>
                <w:rFonts w:ascii="Arial Narrow" w:hAnsi="Arial Narrow" w:cs="Arial"/>
                <w:sz w:val="20"/>
                <w:szCs w:val="20"/>
                <w:lang w:val="en-US"/>
              </w:rPr>
            </w:pPr>
            <w:r>
              <w:rPr>
                <w:rFonts w:ascii="Arial Narrow" w:hAnsi="Arial Narrow" w:cs="Arial"/>
                <w:sz w:val="20"/>
                <w:szCs w:val="20"/>
                <w:lang w:val="en-US"/>
              </w:rPr>
              <w:t>3,950,718,090</w:t>
            </w:r>
          </w:p>
        </w:tc>
      </w:tr>
      <w:tr>
        <w:trPr>
          <w:trHeight w:val="144"/>
        </w:trPr>
        <w:tc>
          <w:tcPr>
            <w:tcW w:w="4016" w:type="dxa"/>
            <w:tcBorders>
              <w:top w:val="nil"/>
              <w:left w:val="nil"/>
              <w:bottom w:val="single" w:sz="4" w:space="0" w:color="auto"/>
              <w:right w:val="nil"/>
            </w:tcBorders>
            <w:noWrap/>
            <w:vAlign w:val="bottom"/>
            <w:hideMark/>
          </w:tcPr>
          <w:p>
            <w:pPr>
              <w:suppressAutoHyphens/>
              <w:snapToGrid w:val="0"/>
              <w:spacing w:after="0" w:line="240" w:lineRule="auto"/>
              <w:ind w:hanging="93"/>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Financial assistance/subsidy/contribution</w:t>
            </w:r>
          </w:p>
        </w:tc>
        <w:tc>
          <w:tcPr>
            <w:tcW w:w="1515" w:type="dxa"/>
            <w:tcBorders>
              <w:top w:val="nil"/>
              <w:left w:val="nil"/>
              <w:bottom w:val="single" w:sz="4" w:space="0" w:color="auto"/>
              <w:right w:val="nil"/>
            </w:tcBorders>
            <w:vAlign w:val="bottom"/>
          </w:tcPr>
          <w:p>
            <w:pPr>
              <w:spacing w:after="0" w:line="240" w:lineRule="auto"/>
              <w:jc w:val="right"/>
              <w:rPr>
                <w:rFonts w:ascii="Arial Narrow" w:hAnsi="Arial Narrow" w:cs="Arial"/>
                <w:sz w:val="20"/>
                <w:szCs w:val="20"/>
                <w:lang w:val="en-US"/>
              </w:rPr>
            </w:pPr>
            <w:r>
              <w:rPr>
                <w:rFonts w:ascii="Arial Narrow" w:hAnsi="Arial Narrow" w:cs="Arial"/>
                <w:sz w:val="20"/>
                <w:szCs w:val="20"/>
                <w:lang w:val="en-US"/>
              </w:rPr>
              <w:t>5,348,481,594</w:t>
            </w:r>
          </w:p>
        </w:tc>
        <w:tc>
          <w:tcPr>
            <w:tcW w:w="1515" w:type="dxa"/>
            <w:tcBorders>
              <w:top w:val="nil"/>
              <w:left w:val="nil"/>
              <w:bottom w:val="single" w:sz="4" w:space="0" w:color="auto"/>
              <w:right w:val="nil"/>
            </w:tcBorders>
            <w:vAlign w:val="bottom"/>
          </w:tcPr>
          <w:p>
            <w:pPr>
              <w:spacing w:after="0" w:line="240" w:lineRule="auto"/>
              <w:jc w:val="right"/>
              <w:rPr>
                <w:rFonts w:ascii="Arial Narrow" w:hAnsi="Arial Narrow" w:cs="Arial"/>
                <w:sz w:val="20"/>
                <w:szCs w:val="20"/>
                <w:lang w:val="en-US"/>
              </w:rPr>
            </w:pPr>
            <w:r>
              <w:rPr>
                <w:rFonts w:ascii="Arial Narrow" w:hAnsi="Arial Narrow" w:cs="Arial"/>
                <w:sz w:val="20"/>
                <w:szCs w:val="20"/>
                <w:lang w:val="en-US"/>
              </w:rPr>
              <w:t>4,536,467,278</w:t>
            </w:r>
          </w:p>
        </w:tc>
        <w:tc>
          <w:tcPr>
            <w:tcW w:w="1743" w:type="dxa"/>
            <w:tcBorders>
              <w:top w:val="nil"/>
              <w:left w:val="nil"/>
              <w:bottom w:val="single" w:sz="4" w:space="0" w:color="auto"/>
              <w:right w:val="nil"/>
            </w:tcBorders>
            <w:vAlign w:val="bottom"/>
          </w:tcPr>
          <w:p>
            <w:pPr>
              <w:spacing w:after="0" w:line="240" w:lineRule="auto"/>
              <w:ind w:right="-104"/>
              <w:jc w:val="right"/>
              <w:rPr>
                <w:rFonts w:ascii="Arial Narrow" w:hAnsi="Arial Narrow" w:cs="Arial"/>
                <w:sz w:val="20"/>
                <w:szCs w:val="20"/>
                <w:lang w:val="en-US"/>
              </w:rPr>
            </w:pPr>
            <w:r>
              <w:rPr>
                <w:rFonts w:ascii="Arial Narrow" w:hAnsi="Arial Narrow" w:cs="Arial"/>
                <w:sz w:val="20"/>
                <w:szCs w:val="20"/>
                <w:lang w:val="en-US"/>
              </w:rPr>
              <w:t>812,014,316</w:t>
            </w:r>
          </w:p>
        </w:tc>
      </w:tr>
      <w:tr>
        <w:trPr>
          <w:trHeight w:val="260"/>
        </w:trPr>
        <w:tc>
          <w:tcPr>
            <w:tcW w:w="4016" w:type="dxa"/>
            <w:tcBorders>
              <w:top w:val="single" w:sz="4" w:space="0" w:color="auto"/>
              <w:left w:val="nil"/>
              <w:bottom w:val="nil"/>
              <w:right w:val="nil"/>
            </w:tcBorders>
            <w:noWrap/>
            <w:vAlign w:val="bottom"/>
            <w:hideMark/>
          </w:tcPr>
          <w:p>
            <w:pPr>
              <w:suppressAutoHyphens/>
              <w:snapToGrid w:val="0"/>
              <w:spacing w:after="0" w:line="240" w:lineRule="auto"/>
              <w:ind w:hanging="93"/>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Net income/(loss)</w:t>
            </w:r>
          </w:p>
        </w:tc>
        <w:tc>
          <w:tcPr>
            <w:tcW w:w="1515" w:type="dxa"/>
            <w:tcBorders>
              <w:top w:val="single" w:sz="4" w:space="0" w:color="auto"/>
              <w:left w:val="nil"/>
              <w:bottom w:val="nil"/>
              <w:right w:val="nil"/>
            </w:tcBorders>
            <w:vAlign w:val="bottom"/>
          </w:tcPr>
          <w:p>
            <w:pPr>
              <w:spacing w:after="0" w:line="240" w:lineRule="auto"/>
              <w:jc w:val="right"/>
              <w:rPr>
                <w:rFonts w:ascii="Arial Narrow" w:hAnsi="Arial Narrow" w:cs="Arial"/>
                <w:bCs/>
                <w:sz w:val="20"/>
                <w:szCs w:val="20"/>
                <w:lang w:val="en-US"/>
              </w:rPr>
            </w:pPr>
            <w:r>
              <w:rPr>
                <w:rFonts w:ascii="Arial Narrow" w:hAnsi="Arial Narrow" w:cs="Arial"/>
                <w:bCs/>
                <w:sz w:val="20"/>
                <w:szCs w:val="20"/>
                <w:lang w:val="en-US"/>
              </w:rPr>
              <w:t>3,097,357,328</w:t>
            </w:r>
          </w:p>
        </w:tc>
        <w:tc>
          <w:tcPr>
            <w:tcW w:w="1515" w:type="dxa"/>
            <w:tcBorders>
              <w:top w:val="single" w:sz="4" w:space="0" w:color="auto"/>
              <w:left w:val="nil"/>
              <w:bottom w:val="nil"/>
              <w:right w:val="nil"/>
            </w:tcBorders>
            <w:vAlign w:val="bottom"/>
          </w:tcPr>
          <w:p>
            <w:pPr>
              <w:spacing w:after="0" w:line="240" w:lineRule="auto"/>
              <w:jc w:val="right"/>
              <w:rPr>
                <w:rFonts w:ascii="Arial Narrow" w:hAnsi="Arial Narrow" w:cs="Arial"/>
                <w:bCs/>
                <w:sz w:val="20"/>
                <w:szCs w:val="20"/>
                <w:lang w:val="en-US"/>
              </w:rPr>
            </w:pPr>
            <w:r>
              <w:rPr>
                <w:rFonts w:ascii="Arial Narrow" w:hAnsi="Arial Narrow" w:cs="Arial"/>
                <w:bCs/>
                <w:sz w:val="20"/>
                <w:szCs w:val="20"/>
                <w:lang w:val="en-US"/>
              </w:rPr>
              <w:t>(41,346,446)</w:t>
            </w:r>
          </w:p>
        </w:tc>
        <w:tc>
          <w:tcPr>
            <w:tcW w:w="1743" w:type="dxa"/>
            <w:tcBorders>
              <w:top w:val="single" w:sz="4" w:space="0" w:color="auto"/>
              <w:left w:val="nil"/>
              <w:bottom w:val="nil"/>
              <w:right w:val="nil"/>
            </w:tcBorders>
            <w:vAlign w:val="bottom"/>
          </w:tcPr>
          <w:p>
            <w:pPr>
              <w:spacing w:after="0" w:line="240" w:lineRule="auto"/>
              <w:ind w:right="-104"/>
              <w:jc w:val="right"/>
              <w:rPr>
                <w:rFonts w:ascii="Arial Narrow" w:hAnsi="Arial Narrow" w:cs="Arial"/>
                <w:sz w:val="20"/>
                <w:szCs w:val="20"/>
                <w:lang w:val="en-US"/>
              </w:rPr>
            </w:pPr>
            <w:r>
              <w:rPr>
                <w:rFonts w:ascii="Arial Narrow" w:hAnsi="Arial Narrow" w:cs="Arial"/>
                <w:sz w:val="20"/>
                <w:szCs w:val="20"/>
                <w:lang w:val="en-US"/>
              </w:rPr>
              <w:t>3,138,703,774</w:t>
            </w:r>
          </w:p>
        </w:tc>
      </w:tr>
      <w:tr>
        <w:trPr>
          <w:trHeight w:val="191"/>
        </w:trPr>
        <w:tc>
          <w:tcPr>
            <w:tcW w:w="4016" w:type="dxa"/>
            <w:tcBorders>
              <w:top w:val="nil"/>
              <w:left w:val="nil"/>
              <w:bottom w:val="single" w:sz="4" w:space="0" w:color="auto"/>
              <w:right w:val="nil"/>
            </w:tcBorders>
            <w:noWrap/>
            <w:vAlign w:val="bottom"/>
            <w:hideMark/>
          </w:tcPr>
          <w:p>
            <w:pPr>
              <w:suppressAutoHyphens/>
              <w:snapToGrid w:val="0"/>
              <w:spacing w:after="0" w:line="240" w:lineRule="auto"/>
              <w:ind w:hanging="93"/>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Other comprehensive income (loss) for the period</w:t>
            </w:r>
          </w:p>
        </w:tc>
        <w:tc>
          <w:tcPr>
            <w:tcW w:w="1515" w:type="dxa"/>
            <w:tcBorders>
              <w:top w:val="nil"/>
              <w:left w:val="nil"/>
              <w:bottom w:val="single" w:sz="4" w:space="0" w:color="auto"/>
              <w:right w:val="nil"/>
            </w:tcBorders>
            <w:vAlign w:val="bottom"/>
          </w:tcPr>
          <w:p>
            <w:pPr>
              <w:spacing w:after="0" w:line="240" w:lineRule="auto"/>
              <w:jc w:val="right"/>
              <w:rPr>
                <w:rFonts w:ascii="Arial Narrow" w:hAnsi="Arial Narrow" w:cs="Arial"/>
                <w:sz w:val="20"/>
                <w:szCs w:val="20"/>
                <w:lang w:val="en-US"/>
              </w:rPr>
            </w:pPr>
            <w:r>
              <w:rPr>
                <w:rFonts w:ascii="Arial Narrow" w:hAnsi="Arial Narrow" w:cs="Arial"/>
                <w:sz w:val="20"/>
                <w:szCs w:val="20"/>
                <w:lang w:val="en-US"/>
              </w:rPr>
              <w:t>1,200,764</w:t>
            </w:r>
          </w:p>
        </w:tc>
        <w:tc>
          <w:tcPr>
            <w:tcW w:w="1515" w:type="dxa"/>
            <w:tcBorders>
              <w:top w:val="nil"/>
              <w:left w:val="nil"/>
              <w:bottom w:val="single" w:sz="4" w:space="0" w:color="auto"/>
              <w:right w:val="nil"/>
            </w:tcBorders>
            <w:vAlign w:val="bottom"/>
          </w:tcPr>
          <w:p>
            <w:pPr>
              <w:spacing w:after="0" w:line="240" w:lineRule="auto"/>
              <w:jc w:val="right"/>
              <w:rPr>
                <w:rFonts w:ascii="Arial Narrow" w:hAnsi="Arial Narrow" w:cs="Arial"/>
                <w:sz w:val="20"/>
                <w:szCs w:val="20"/>
                <w:lang w:val="en-US"/>
              </w:rPr>
            </w:pPr>
            <w:r>
              <w:rPr>
                <w:rFonts w:ascii="Arial Narrow" w:hAnsi="Arial Narrow" w:cs="Arial"/>
                <w:sz w:val="20"/>
                <w:szCs w:val="20"/>
                <w:lang w:val="en-US"/>
              </w:rPr>
              <w:t>(1,120,115)</w:t>
            </w:r>
          </w:p>
        </w:tc>
        <w:tc>
          <w:tcPr>
            <w:tcW w:w="1743" w:type="dxa"/>
            <w:tcBorders>
              <w:top w:val="nil"/>
              <w:left w:val="nil"/>
              <w:bottom w:val="single" w:sz="4" w:space="0" w:color="auto"/>
              <w:right w:val="nil"/>
            </w:tcBorders>
            <w:vAlign w:val="bottom"/>
          </w:tcPr>
          <w:p>
            <w:pPr>
              <w:spacing w:after="0" w:line="240" w:lineRule="auto"/>
              <w:ind w:right="-104"/>
              <w:jc w:val="right"/>
              <w:rPr>
                <w:rFonts w:ascii="Arial Narrow" w:hAnsi="Arial Narrow"/>
                <w:sz w:val="20"/>
                <w:szCs w:val="20"/>
                <w:lang w:val="en-US"/>
              </w:rPr>
            </w:pPr>
            <w:r>
              <w:rPr>
                <w:rFonts w:ascii="Arial Narrow" w:hAnsi="Arial Narrow"/>
                <w:sz w:val="20"/>
                <w:szCs w:val="20"/>
                <w:lang w:val="en-US"/>
              </w:rPr>
              <w:t>2,320,879</w:t>
            </w:r>
          </w:p>
        </w:tc>
      </w:tr>
      <w:tr>
        <w:trPr>
          <w:trHeight w:val="206"/>
        </w:trPr>
        <w:tc>
          <w:tcPr>
            <w:tcW w:w="4016" w:type="dxa"/>
            <w:tcBorders>
              <w:top w:val="single" w:sz="4" w:space="0" w:color="auto"/>
              <w:left w:val="nil"/>
              <w:bottom w:val="double" w:sz="4" w:space="0" w:color="auto"/>
              <w:right w:val="nil"/>
            </w:tcBorders>
            <w:noWrap/>
            <w:vAlign w:val="bottom"/>
            <w:hideMark/>
          </w:tcPr>
          <w:p>
            <w:pPr>
              <w:suppressAutoHyphens/>
              <w:snapToGrid w:val="0"/>
              <w:spacing w:after="0" w:line="240" w:lineRule="auto"/>
              <w:ind w:hanging="93"/>
              <w:rPr>
                <w:rFonts w:ascii="Arial Narrow" w:eastAsia="Times New Roman" w:hAnsi="Arial Narrow" w:cs="Arial"/>
                <w:b/>
                <w:bCs/>
                <w:sz w:val="20"/>
                <w:szCs w:val="20"/>
                <w:lang w:val="en-US" w:eastAsia="ar-SA"/>
              </w:rPr>
            </w:pPr>
            <w:r>
              <w:rPr>
                <w:rFonts w:ascii="Arial Narrow" w:eastAsia="Times New Roman" w:hAnsi="Arial Narrow" w:cs="Arial"/>
                <w:b/>
                <w:bCs/>
                <w:sz w:val="20"/>
                <w:szCs w:val="20"/>
                <w:lang w:val="en-US" w:eastAsia="ar-SA"/>
              </w:rPr>
              <w:t>Total Comprehensive Income</w:t>
            </w:r>
          </w:p>
        </w:tc>
        <w:tc>
          <w:tcPr>
            <w:tcW w:w="1515" w:type="dxa"/>
            <w:tcBorders>
              <w:top w:val="single" w:sz="4" w:space="0" w:color="auto"/>
              <w:left w:val="nil"/>
              <w:bottom w:val="double" w:sz="4" w:space="0" w:color="auto"/>
              <w:right w:val="nil"/>
            </w:tcBorders>
            <w:vAlign w:val="bottom"/>
          </w:tcPr>
          <w:p>
            <w:pPr>
              <w:spacing w:after="0" w:line="240" w:lineRule="auto"/>
              <w:jc w:val="right"/>
              <w:rPr>
                <w:rFonts w:ascii="Arial Narrow" w:hAnsi="Arial Narrow" w:cs="Arial"/>
                <w:b/>
                <w:sz w:val="20"/>
                <w:szCs w:val="20"/>
                <w:lang w:val="en-US"/>
              </w:rPr>
            </w:pPr>
            <w:r>
              <w:rPr>
                <w:rFonts w:ascii="Arial Narrow" w:hAnsi="Arial Narrow" w:cs="Arial"/>
                <w:b/>
                <w:sz w:val="20"/>
                <w:szCs w:val="20"/>
                <w:lang w:val="en-US"/>
              </w:rPr>
              <w:t>3,098,558,092</w:t>
            </w:r>
          </w:p>
        </w:tc>
        <w:tc>
          <w:tcPr>
            <w:tcW w:w="1515" w:type="dxa"/>
            <w:tcBorders>
              <w:top w:val="single" w:sz="4" w:space="0" w:color="auto"/>
              <w:left w:val="nil"/>
              <w:bottom w:val="double" w:sz="4" w:space="0" w:color="auto"/>
              <w:right w:val="nil"/>
            </w:tcBorders>
            <w:vAlign w:val="bottom"/>
          </w:tcPr>
          <w:p>
            <w:pPr>
              <w:spacing w:after="0" w:line="240" w:lineRule="auto"/>
              <w:jc w:val="right"/>
              <w:rPr>
                <w:rFonts w:ascii="Arial Narrow" w:hAnsi="Arial Narrow" w:cs="Arial"/>
                <w:b/>
                <w:sz w:val="20"/>
                <w:szCs w:val="20"/>
                <w:lang w:val="en-US"/>
              </w:rPr>
            </w:pPr>
            <w:r>
              <w:rPr>
                <w:rFonts w:ascii="Arial Narrow" w:hAnsi="Arial Narrow" w:cs="Arial"/>
                <w:b/>
                <w:sz w:val="20"/>
                <w:szCs w:val="20"/>
                <w:lang w:val="en-US"/>
              </w:rPr>
              <w:t>(42,466,561)</w:t>
            </w:r>
          </w:p>
        </w:tc>
        <w:tc>
          <w:tcPr>
            <w:tcW w:w="1743" w:type="dxa"/>
            <w:tcBorders>
              <w:top w:val="single" w:sz="4" w:space="0" w:color="auto"/>
              <w:left w:val="nil"/>
              <w:bottom w:val="double" w:sz="4" w:space="0" w:color="auto"/>
              <w:right w:val="nil"/>
            </w:tcBorders>
            <w:vAlign w:val="bottom"/>
          </w:tcPr>
          <w:p>
            <w:pPr>
              <w:spacing w:after="0" w:line="240" w:lineRule="auto"/>
              <w:ind w:right="-104"/>
              <w:jc w:val="right"/>
              <w:rPr>
                <w:rFonts w:ascii="Arial Narrow" w:hAnsi="Arial Narrow" w:cs="Arial"/>
                <w:b/>
                <w:sz w:val="20"/>
                <w:szCs w:val="20"/>
                <w:lang w:val="en-US"/>
              </w:rPr>
            </w:pPr>
            <w:r>
              <w:rPr>
                <w:rFonts w:ascii="Arial Narrow" w:hAnsi="Arial Narrow" w:cs="Arial"/>
                <w:b/>
                <w:sz w:val="20"/>
                <w:szCs w:val="20"/>
                <w:lang w:val="en-US"/>
              </w:rPr>
              <w:t>3,141,024,653</w:t>
            </w:r>
          </w:p>
        </w:tc>
      </w:tr>
    </w:tbl>
    <w:p>
      <w:pPr>
        <w:spacing w:after="0" w:line="240" w:lineRule="auto"/>
        <w:jc w:val="both"/>
        <w:rPr>
          <w:rFonts w:ascii="Arial Narrow" w:hAnsi="Arial Narrow" w:cs="Arial"/>
          <w:b/>
          <w:sz w:val="20"/>
          <w:szCs w:val="20"/>
        </w:rPr>
      </w:pPr>
    </w:p>
    <w:p>
      <w:pPr>
        <w:pStyle w:val="ListParagraph"/>
        <w:numPr>
          <w:ilvl w:val="0"/>
          <w:numId w:val="1"/>
        </w:numPr>
        <w:ind w:left="567" w:hanging="567"/>
        <w:jc w:val="both"/>
        <w:rPr>
          <w:rFonts w:ascii="Arial" w:hAnsi="Arial" w:cs="Arial"/>
          <w:b/>
          <w:sz w:val="20"/>
          <w:szCs w:val="20"/>
        </w:rPr>
      </w:pPr>
      <w:r>
        <w:rPr>
          <w:rFonts w:ascii="Arial" w:hAnsi="Arial" w:cs="Arial"/>
          <w:b/>
          <w:sz w:val="20"/>
          <w:szCs w:val="20"/>
        </w:rPr>
        <w:t>Comparison of the CY 2020 Budget and Actual Amounts on Comparable Basis</w:t>
      </w:r>
    </w:p>
    <w:p>
      <w:pPr>
        <w:spacing w:after="0" w:line="240" w:lineRule="auto"/>
        <w:jc w:val="both"/>
        <w:rPr>
          <w:rFonts w:ascii="Arial Narrow" w:hAnsi="Arial Narrow" w:cs="Arial"/>
          <w:sz w:val="20"/>
          <w:szCs w:val="20"/>
        </w:rPr>
      </w:pPr>
    </w:p>
    <w:tbl>
      <w:tblPr>
        <w:tblW w:w="8784" w:type="dxa"/>
        <w:tblLook w:val="04A0" w:firstRow="1" w:lastRow="0" w:firstColumn="1" w:lastColumn="0" w:noHBand="0" w:noVBand="1"/>
      </w:tblPr>
      <w:tblGrid>
        <w:gridCol w:w="257"/>
        <w:gridCol w:w="3566"/>
        <w:gridCol w:w="1701"/>
        <w:gridCol w:w="1559"/>
        <w:gridCol w:w="1701"/>
      </w:tblGrid>
      <w:tr>
        <w:trPr>
          <w:trHeight w:val="350"/>
        </w:trPr>
        <w:tc>
          <w:tcPr>
            <w:tcW w:w="257" w:type="dxa"/>
            <w:tcBorders>
              <w:top w:val="single" w:sz="4" w:space="0" w:color="auto"/>
              <w:left w:val="nil"/>
              <w:bottom w:val="single" w:sz="4" w:space="0" w:color="auto"/>
              <w:right w:val="nil"/>
            </w:tcBorders>
            <w:vAlign w:val="bottom"/>
            <w:hideMark/>
          </w:tcPr>
          <w:p>
            <w:pPr>
              <w:rPr>
                <w:rFonts w:ascii="Arial Narrow" w:hAnsi="Arial Narrow" w:cs="Arial"/>
                <w:sz w:val="20"/>
                <w:szCs w:val="20"/>
              </w:rPr>
            </w:pPr>
          </w:p>
        </w:tc>
        <w:tc>
          <w:tcPr>
            <w:tcW w:w="3566" w:type="dxa"/>
            <w:tcBorders>
              <w:top w:val="single" w:sz="4" w:space="0" w:color="auto"/>
              <w:left w:val="nil"/>
              <w:bottom w:val="single" w:sz="4" w:space="0" w:color="auto"/>
              <w:right w:val="nil"/>
            </w:tcBorders>
            <w:vAlign w:val="bottom"/>
          </w:tcPr>
          <w:p>
            <w:pPr>
              <w:spacing w:after="0" w:line="240" w:lineRule="auto"/>
              <w:ind w:left="-108" w:right="-108"/>
              <w:jc w:val="right"/>
              <w:rPr>
                <w:rFonts w:ascii="Arial Narrow" w:eastAsia="Times New Roman" w:hAnsi="Arial Narrow" w:cs="Arial"/>
                <w:b/>
                <w:bCs/>
                <w:sz w:val="20"/>
                <w:szCs w:val="20"/>
                <w:lang w:val="en-US"/>
              </w:rPr>
            </w:pPr>
          </w:p>
        </w:tc>
        <w:tc>
          <w:tcPr>
            <w:tcW w:w="1701" w:type="dxa"/>
            <w:tcBorders>
              <w:top w:val="single" w:sz="4" w:space="0" w:color="auto"/>
              <w:left w:val="nil"/>
              <w:bottom w:val="single" w:sz="4" w:space="0" w:color="auto"/>
              <w:right w:val="nil"/>
            </w:tcBorders>
            <w:vAlign w:val="bottom"/>
            <w:hideMark/>
          </w:tcPr>
          <w:p>
            <w:pPr>
              <w:spacing w:after="0" w:line="240" w:lineRule="auto"/>
              <w:ind w:left="-110" w:right="-100"/>
              <w:jc w:val="right"/>
              <w:rPr>
                <w:rFonts w:ascii="Arial Narrow" w:eastAsia="Times New Roman" w:hAnsi="Arial Narrow" w:cs="Arial"/>
                <w:b/>
                <w:bCs/>
                <w:sz w:val="20"/>
                <w:szCs w:val="20"/>
                <w:lang w:val="en-US"/>
              </w:rPr>
            </w:pPr>
            <w:r>
              <w:rPr>
                <w:rFonts w:ascii="Arial Narrow" w:eastAsia="Times New Roman" w:hAnsi="Arial Narrow" w:cs="Arial"/>
                <w:b/>
                <w:bCs/>
                <w:sz w:val="20"/>
                <w:szCs w:val="20"/>
                <w:lang w:val="en-US"/>
              </w:rPr>
              <w:t>Approved Corporate Operating Budget</w:t>
            </w:r>
          </w:p>
        </w:tc>
        <w:tc>
          <w:tcPr>
            <w:tcW w:w="1559" w:type="dxa"/>
            <w:tcBorders>
              <w:top w:val="single" w:sz="4" w:space="0" w:color="auto"/>
              <w:left w:val="nil"/>
              <w:bottom w:val="single" w:sz="4" w:space="0" w:color="auto"/>
              <w:right w:val="nil"/>
            </w:tcBorders>
            <w:vAlign w:val="bottom"/>
            <w:hideMark/>
          </w:tcPr>
          <w:p>
            <w:pPr>
              <w:spacing w:after="0" w:line="240" w:lineRule="auto"/>
              <w:ind w:right="-100"/>
              <w:jc w:val="right"/>
              <w:rPr>
                <w:rFonts w:ascii="Arial Narrow" w:eastAsia="Times New Roman" w:hAnsi="Arial Narrow" w:cs="Arial"/>
                <w:b/>
                <w:bCs/>
                <w:sz w:val="20"/>
                <w:szCs w:val="20"/>
                <w:lang w:val="en-US"/>
              </w:rPr>
            </w:pPr>
            <w:r>
              <w:rPr>
                <w:rFonts w:ascii="Arial Narrow" w:eastAsia="Times New Roman" w:hAnsi="Arial Narrow" w:cs="Arial"/>
                <w:b/>
                <w:bCs/>
                <w:sz w:val="20"/>
                <w:szCs w:val="20"/>
                <w:lang w:val="en-US"/>
              </w:rPr>
              <w:t>Actual Amounts on Comparable Basis</w:t>
            </w:r>
          </w:p>
        </w:tc>
        <w:tc>
          <w:tcPr>
            <w:tcW w:w="1701" w:type="dxa"/>
            <w:tcBorders>
              <w:top w:val="single" w:sz="4" w:space="0" w:color="auto"/>
              <w:left w:val="nil"/>
              <w:bottom w:val="single" w:sz="4" w:space="0" w:color="auto"/>
              <w:right w:val="nil"/>
            </w:tcBorders>
            <w:vAlign w:val="bottom"/>
            <w:hideMark/>
          </w:tcPr>
          <w:p>
            <w:pPr>
              <w:spacing w:after="0" w:line="240" w:lineRule="auto"/>
              <w:ind w:right="-108"/>
              <w:jc w:val="right"/>
              <w:rPr>
                <w:rFonts w:ascii="Arial Narrow" w:eastAsia="Times New Roman" w:hAnsi="Arial Narrow" w:cs="Arial"/>
                <w:b/>
                <w:bCs/>
                <w:sz w:val="20"/>
                <w:szCs w:val="20"/>
                <w:lang w:val="en-US"/>
              </w:rPr>
            </w:pPr>
            <w:r>
              <w:rPr>
                <w:rFonts w:ascii="Arial Narrow" w:eastAsia="Times New Roman" w:hAnsi="Arial Narrow" w:cs="Arial"/>
                <w:b/>
                <w:bCs/>
                <w:sz w:val="20"/>
                <w:szCs w:val="20"/>
                <w:lang w:val="en-US"/>
              </w:rPr>
              <w:t>Variance</w:t>
            </w:r>
          </w:p>
        </w:tc>
      </w:tr>
      <w:tr>
        <w:trPr>
          <w:trHeight w:val="50"/>
        </w:trPr>
        <w:tc>
          <w:tcPr>
            <w:tcW w:w="3823" w:type="dxa"/>
            <w:gridSpan w:val="2"/>
            <w:tcBorders>
              <w:top w:val="single" w:sz="4" w:space="0" w:color="auto"/>
              <w:left w:val="nil"/>
              <w:bottom w:val="nil"/>
              <w:right w:val="nil"/>
            </w:tcBorders>
            <w:vAlign w:val="center"/>
            <w:hideMark/>
          </w:tcPr>
          <w:p>
            <w:pPr>
              <w:suppressAutoHyphens/>
              <w:snapToGrid w:val="0"/>
              <w:spacing w:after="0" w:line="240" w:lineRule="auto"/>
              <w:ind w:hanging="107"/>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Operating Fund</w:t>
            </w:r>
          </w:p>
        </w:tc>
        <w:tc>
          <w:tcPr>
            <w:tcW w:w="1701" w:type="dxa"/>
            <w:tcBorders>
              <w:top w:val="single" w:sz="4" w:space="0" w:color="auto"/>
              <w:left w:val="nil"/>
              <w:bottom w:val="nil"/>
              <w:right w:val="nil"/>
            </w:tcBorders>
            <w:vAlign w:val="bottom"/>
          </w:tcPr>
          <w:p>
            <w:pPr>
              <w:spacing w:after="0"/>
              <w:ind w:left="-110" w:right="-100"/>
              <w:jc w:val="right"/>
              <w:rPr>
                <w:rFonts w:ascii="Arial Narrow" w:hAnsi="Arial Narrow"/>
                <w:sz w:val="18"/>
                <w:szCs w:val="18"/>
              </w:rPr>
            </w:pPr>
          </w:p>
        </w:tc>
        <w:tc>
          <w:tcPr>
            <w:tcW w:w="1559" w:type="dxa"/>
            <w:tcBorders>
              <w:top w:val="single" w:sz="4" w:space="0" w:color="auto"/>
              <w:left w:val="nil"/>
              <w:bottom w:val="nil"/>
              <w:right w:val="nil"/>
            </w:tcBorders>
            <w:vAlign w:val="bottom"/>
          </w:tcPr>
          <w:p>
            <w:pPr>
              <w:spacing w:after="0"/>
              <w:ind w:right="-100"/>
              <w:jc w:val="right"/>
              <w:rPr>
                <w:rFonts w:ascii="Arial Narrow" w:hAnsi="Arial Narrow" w:cs="Arial"/>
                <w:sz w:val="18"/>
                <w:szCs w:val="18"/>
              </w:rPr>
            </w:pPr>
          </w:p>
        </w:tc>
        <w:tc>
          <w:tcPr>
            <w:tcW w:w="1701" w:type="dxa"/>
            <w:tcBorders>
              <w:top w:val="single" w:sz="4" w:space="0" w:color="auto"/>
              <w:left w:val="nil"/>
              <w:bottom w:val="nil"/>
              <w:right w:val="nil"/>
            </w:tcBorders>
            <w:vAlign w:val="center"/>
          </w:tcPr>
          <w:p>
            <w:pPr>
              <w:spacing w:after="0" w:line="240" w:lineRule="auto"/>
              <w:ind w:right="-108"/>
              <w:jc w:val="right"/>
              <w:rPr>
                <w:rFonts w:ascii="Arial Narrow" w:eastAsia="Times New Roman" w:hAnsi="Arial Narrow" w:cs="Arial"/>
                <w:sz w:val="20"/>
                <w:szCs w:val="20"/>
                <w:lang w:val="en-US"/>
              </w:rPr>
            </w:pPr>
          </w:p>
        </w:tc>
      </w:tr>
      <w:tr>
        <w:trPr>
          <w:trHeight w:val="90"/>
        </w:trPr>
        <w:tc>
          <w:tcPr>
            <w:tcW w:w="257" w:type="dxa"/>
            <w:vAlign w:val="center"/>
          </w:tcPr>
          <w:p>
            <w:pPr>
              <w:suppressAutoHyphens/>
              <w:snapToGrid w:val="0"/>
              <w:spacing w:after="0" w:line="240" w:lineRule="auto"/>
              <w:ind w:hanging="107"/>
              <w:jc w:val="right"/>
              <w:rPr>
                <w:rFonts w:ascii="Arial Narrow" w:eastAsia="Times New Roman" w:hAnsi="Arial Narrow" w:cs="Arial"/>
                <w:bCs/>
                <w:sz w:val="20"/>
                <w:szCs w:val="20"/>
                <w:lang w:val="en-US" w:eastAsia="ar-SA"/>
              </w:rPr>
            </w:pPr>
          </w:p>
        </w:tc>
        <w:tc>
          <w:tcPr>
            <w:tcW w:w="3566" w:type="dxa"/>
            <w:vAlign w:val="center"/>
            <w:hideMark/>
          </w:tcPr>
          <w:p>
            <w:pPr>
              <w:suppressAutoHyphens/>
              <w:snapToGrid w:val="0"/>
              <w:spacing w:after="0" w:line="240" w:lineRule="auto"/>
              <w:ind w:left="202" w:hanging="283"/>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Personnel services</w:t>
            </w:r>
          </w:p>
        </w:tc>
        <w:tc>
          <w:tcPr>
            <w:tcW w:w="1701" w:type="dxa"/>
            <w:vAlign w:val="bottom"/>
          </w:tcPr>
          <w:p>
            <w:pPr>
              <w:spacing w:after="0"/>
              <w:ind w:left="-110" w:right="-100"/>
              <w:jc w:val="right"/>
              <w:rPr>
                <w:rFonts w:ascii="Arial Narrow" w:hAnsi="Arial Narrow"/>
                <w:sz w:val="18"/>
                <w:szCs w:val="18"/>
              </w:rPr>
            </w:pPr>
            <w:r>
              <w:rPr>
                <w:rFonts w:ascii="Arial Narrow" w:hAnsi="Arial Narrow"/>
                <w:sz w:val="18"/>
                <w:szCs w:val="18"/>
              </w:rPr>
              <w:t>1,191,522,000.00</w:t>
            </w:r>
          </w:p>
        </w:tc>
        <w:tc>
          <w:tcPr>
            <w:tcW w:w="1559" w:type="dxa"/>
            <w:vAlign w:val="bottom"/>
          </w:tcPr>
          <w:p>
            <w:pPr>
              <w:spacing w:after="0"/>
              <w:ind w:right="-100"/>
              <w:jc w:val="right"/>
              <w:rPr>
                <w:rFonts w:ascii="Arial Narrow" w:hAnsi="Arial Narrow" w:cs="Arial"/>
                <w:sz w:val="18"/>
                <w:szCs w:val="18"/>
              </w:rPr>
            </w:pPr>
            <w:r>
              <w:rPr>
                <w:rFonts w:ascii="Arial Narrow" w:hAnsi="Arial Narrow" w:cs="Arial"/>
                <w:sz w:val="18"/>
                <w:szCs w:val="18"/>
              </w:rPr>
              <w:t>937,381,864.00</w:t>
            </w:r>
          </w:p>
        </w:tc>
        <w:tc>
          <w:tcPr>
            <w:tcW w:w="1701" w:type="dxa"/>
            <w:vAlign w:val="bottom"/>
          </w:tcPr>
          <w:p>
            <w:pPr>
              <w:spacing w:after="0"/>
              <w:ind w:right="-90"/>
              <w:jc w:val="right"/>
              <w:rPr>
                <w:rFonts w:ascii="Arial Narrow" w:hAnsi="Arial Narrow"/>
                <w:sz w:val="18"/>
                <w:szCs w:val="18"/>
              </w:rPr>
            </w:pPr>
            <w:r>
              <w:rPr>
                <w:rFonts w:ascii="Arial Narrow" w:hAnsi="Arial Narrow"/>
                <w:sz w:val="18"/>
                <w:szCs w:val="18"/>
              </w:rPr>
              <w:t>254,140,136.00</w:t>
            </w:r>
          </w:p>
        </w:tc>
      </w:tr>
      <w:tr>
        <w:trPr>
          <w:trHeight w:val="169"/>
        </w:trPr>
        <w:tc>
          <w:tcPr>
            <w:tcW w:w="257" w:type="dxa"/>
            <w:vAlign w:val="bottom"/>
          </w:tcPr>
          <w:p>
            <w:pPr>
              <w:suppressAutoHyphens/>
              <w:snapToGrid w:val="0"/>
              <w:spacing w:after="0" w:line="240" w:lineRule="auto"/>
              <w:ind w:hanging="107"/>
              <w:rPr>
                <w:rFonts w:ascii="Arial Narrow" w:eastAsia="Times New Roman" w:hAnsi="Arial Narrow" w:cs="Arial"/>
                <w:bCs/>
                <w:sz w:val="20"/>
                <w:szCs w:val="20"/>
                <w:lang w:val="en-US" w:eastAsia="ar-SA"/>
              </w:rPr>
            </w:pPr>
          </w:p>
        </w:tc>
        <w:tc>
          <w:tcPr>
            <w:tcW w:w="3566" w:type="dxa"/>
            <w:vAlign w:val="bottom"/>
            <w:hideMark/>
          </w:tcPr>
          <w:p>
            <w:pPr>
              <w:suppressAutoHyphens/>
              <w:snapToGrid w:val="0"/>
              <w:spacing w:after="0" w:line="240" w:lineRule="auto"/>
              <w:ind w:left="202" w:hanging="283"/>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Maintenance and other operating expenses</w:t>
            </w:r>
          </w:p>
        </w:tc>
        <w:tc>
          <w:tcPr>
            <w:tcW w:w="1701" w:type="dxa"/>
            <w:vAlign w:val="bottom"/>
          </w:tcPr>
          <w:p>
            <w:pPr>
              <w:spacing w:after="0"/>
              <w:ind w:left="-110" w:right="-100"/>
              <w:jc w:val="right"/>
              <w:rPr>
                <w:rFonts w:ascii="Arial Narrow" w:hAnsi="Arial Narrow"/>
                <w:sz w:val="18"/>
                <w:szCs w:val="18"/>
              </w:rPr>
            </w:pPr>
            <w:r>
              <w:rPr>
                <w:rFonts w:ascii="Arial Narrow" w:hAnsi="Arial Narrow"/>
                <w:sz w:val="18"/>
                <w:szCs w:val="18"/>
              </w:rPr>
              <w:t>2,718,502,000.00</w:t>
            </w:r>
          </w:p>
        </w:tc>
        <w:tc>
          <w:tcPr>
            <w:tcW w:w="1559" w:type="dxa"/>
            <w:vAlign w:val="bottom"/>
          </w:tcPr>
          <w:p>
            <w:pPr>
              <w:spacing w:after="0"/>
              <w:ind w:right="-100"/>
              <w:jc w:val="right"/>
              <w:rPr>
                <w:rFonts w:ascii="Arial Narrow" w:hAnsi="Arial Narrow" w:cs="Arial"/>
                <w:sz w:val="18"/>
                <w:szCs w:val="18"/>
              </w:rPr>
            </w:pPr>
            <w:r>
              <w:rPr>
                <w:rFonts w:ascii="Arial Narrow" w:hAnsi="Arial Narrow" w:cs="Arial"/>
                <w:sz w:val="18"/>
                <w:szCs w:val="18"/>
              </w:rPr>
              <w:t>1,664,746,141.00</w:t>
            </w:r>
          </w:p>
        </w:tc>
        <w:tc>
          <w:tcPr>
            <w:tcW w:w="1701" w:type="dxa"/>
            <w:vAlign w:val="bottom"/>
          </w:tcPr>
          <w:p>
            <w:pPr>
              <w:spacing w:after="0"/>
              <w:ind w:right="-90"/>
              <w:jc w:val="right"/>
              <w:rPr>
                <w:rFonts w:ascii="Arial Narrow" w:hAnsi="Arial Narrow"/>
                <w:sz w:val="18"/>
                <w:szCs w:val="18"/>
              </w:rPr>
            </w:pPr>
            <w:r>
              <w:rPr>
                <w:rFonts w:ascii="Arial Narrow" w:hAnsi="Arial Narrow"/>
                <w:sz w:val="18"/>
                <w:szCs w:val="18"/>
              </w:rPr>
              <w:t>1,053,755,859.00</w:t>
            </w:r>
          </w:p>
        </w:tc>
      </w:tr>
      <w:tr>
        <w:trPr>
          <w:trHeight w:val="207"/>
        </w:trPr>
        <w:tc>
          <w:tcPr>
            <w:tcW w:w="257" w:type="dxa"/>
            <w:vAlign w:val="center"/>
          </w:tcPr>
          <w:p>
            <w:pPr>
              <w:suppressAutoHyphens/>
              <w:snapToGrid w:val="0"/>
              <w:spacing w:after="0" w:line="240" w:lineRule="auto"/>
              <w:ind w:hanging="107"/>
              <w:rPr>
                <w:rFonts w:ascii="Arial Narrow" w:eastAsia="Times New Roman" w:hAnsi="Arial Narrow" w:cs="Arial"/>
                <w:bCs/>
                <w:sz w:val="20"/>
                <w:szCs w:val="20"/>
                <w:lang w:val="en-US" w:eastAsia="ar-SA"/>
              </w:rPr>
            </w:pPr>
          </w:p>
        </w:tc>
        <w:tc>
          <w:tcPr>
            <w:tcW w:w="3566" w:type="dxa"/>
            <w:vAlign w:val="center"/>
            <w:hideMark/>
          </w:tcPr>
          <w:p>
            <w:pPr>
              <w:suppressAutoHyphens/>
              <w:snapToGrid w:val="0"/>
              <w:spacing w:after="0" w:line="240" w:lineRule="auto"/>
              <w:ind w:left="202" w:hanging="283"/>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Capital outlays</w:t>
            </w:r>
          </w:p>
        </w:tc>
        <w:tc>
          <w:tcPr>
            <w:tcW w:w="1701" w:type="dxa"/>
            <w:vAlign w:val="bottom"/>
          </w:tcPr>
          <w:p>
            <w:pPr>
              <w:spacing w:after="0"/>
              <w:ind w:left="-110" w:right="-100"/>
              <w:jc w:val="right"/>
              <w:rPr>
                <w:rFonts w:ascii="Arial Narrow" w:hAnsi="Arial Narrow"/>
                <w:sz w:val="18"/>
                <w:szCs w:val="18"/>
              </w:rPr>
            </w:pPr>
            <w:r>
              <w:rPr>
                <w:rFonts w:ascii="Arial Narrow" w:hAnsi="Arial Narrow"/>
                <w:sz w:val="18"/>
                <w:szCs w:val="18"/>
              </w:rPr>
              <w:t>3,572,401,000.00</w:t>
            </w:r>
          </w:p>
        </w:tc>
        <w:tc>
          <w:tcPr>
            <w:tcW w:w="1559" w:type="dxa"/>
            <w:vAlign w:val="bottom"/>
          </w:tcPr>
          <w:p>
            <w:pPr>
              <w:spacing w:after="0"/>
              <w:ind w:right="-100"/>
              <w:jc w:val="right"/>
              <w:rPr>
                <w:rFonts w:ascii="Arial Narrow" w:hAnsi="Arial Narrow" w:cs="Arial"/>
                <w:sz w:val="18"/>
                <w:szCs w:val="18"/>
              </w:rPr>
            </w:pPr>
            <w:r>
              <w:rPr>
                <w:rFonts w:ascii="Arial Narrow" w:hAnsi="Arial Narrow" w:cs="Arial"/>
                <w:sz w:val="18"/>
                <w:szCs w:val="18"/>
              </w:rPr>
              <w:t>29,301,728.53</w:t>
            </w:r>
          </w:p>
        </w:tc>
        <w:tc>
          <w:tcPr>
            <w:tcW w:w="1701" w:type="dxa"/>
            <w:vAlign w:val="bottom"/>
          </w:tcPr>
          <w:p>
            <w:pPr>
              <w:spacing w:after="0" w:line="240" w:lineRule="auto"/>
              <w:ind w:right="-90"/>
              <w:jc w:val="right"/>
              <w:rPr>
                <w:rFonts w:ascii="Arial Narrow" w:hAnsi="Arial Narrow" w:cs="Arial"/>
                <w:sz w:val="20"/>
                <w:szCs w:val="20"/>
                <w:lang w:val="en-US"/>
              </w:rPr>
            </w:pPr>
            <w:r>
              <w:rPr>
                <w:rFonts w:ascii="Arial Narrow" w:hAnsi="Arial Narrow" w:cs="Arial"/>
                <w:sz w:val="18"/>
                <w:szCs w:val="18"/>
              </w:rPr>
              <w:t>3,543,099,271.47</w:t>
            </w:r>
          </w:p>
        </w:tc>
      </w:tr>
      <w:tr>
        <w:trPr>
          <w:trHeight w:val="180"/>
        </w:trPr>
        <w:tc>
          <w:tcPr>
            <w:tcW w:w="3823" w:type="dxa"/>
            <w:gridSpan w:val="2"/>
            <w:vAlign w:val="center"/>
            <w:hideMark/>
          </w:tcPr>
          <w:p>
            <w:pPr>
              <w:suppressAutoHyphens/>
              <w:snapToGrid w:val="0"/>
              <w:spacing w:after="0" w:line="240" w:lineRule="auto"/>
              <w:ind w:hanging="107"/>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Charity Fund</w:t>
            </w:r>
          </w:p>
        </w:tc>
        <w:tc>
          <w:tcPr>
            <w:tcW w:w="1701" w:type="dxa"/>
            <w:vAlign w:val="bottom"/>
          </w:tcPr>
          <w:p>
            <w:pPr>
              <w:suppressAutoHyphens/>
              <w:snapToGrid w:val="0"/>
              <w:spacing w:after="0" w:line="240" w:lineRule="auto"/>
              <w:ind w:left="-110" w:right="-100"/>
              <w:jc w:val="right"/>
              <w:rPr>
                <w:rFonts w:ascii="Arial Narrow" w:eastAsia="Times New Roman" w:hAnsi="Arial Narrow" w:cs="Arial"/>
                <w:bCs/>
                <w:sz w:val="20"/>
                <w:szCs w:val="20"/>
                <w:lang w:val="en-US" w:eastAsia="ar-SA"/>
              </w:rPr>
            </w:pPr>
          </w:p>
        </w:tc>
        <w:tc>
          <w:tcPr>
            <w:tcW w:w="1559" w:type="dxa"/>
            <w:vAlign w:val="bottom"/>
          </w:tcPr>
          <w:p>
            <w:pPr>
              <w:suppressAutoHyphens/>
              <w:snapToGrid w:val="0"/>
              <w:spacing w:after="0" w:line="240" w:lineRule="auto"/>
              <w:ind w:right="-100"/>
              <w:jc w:val="right"/>
              <w:rPr>
                <w:rFonts w:ascii="Arial Narrow" w:eastAsia="Times New Roman" w:hAnsi="Arial Narrow" w:cs="Arial"/>
                <w:bCs/>
                <w:sz w:val="20"/>
                <w:szCs w:val="20"/>
                <w:lang w:val="en-US" w:eastAsia="ar-SA"/>
              </w:rPr>
            </w:pPr>
          </w:p>
        </w:tc>
        <w:tc>
          <w:tcPr>
            <w:tcW w:w="1701" w:type="dxa"/>
            <w:vAlign w:val="bottom"/>
          </w:tcPr>
          <w:p>
            <w:pPr>
              <w:spacing w:after="0" w:line="240" w:lineRule="auto"/>
              <w:ind w:right="-90"/>
              <w:jc w:val="right"/>
              <w:rPr>
                <w:rFonts w:ascii="Arial Narrow" w:hAnsi="Arial Narrow" w:cs="Arial"/>
                <w:sz w:val="20"/>
                <w:szCs w:val="20"/>
                <w:lang w:val="en-US"/>
              </w:rPr>
            </w:pPr>
          </w:p>
        </w:tc>
      </w:tr>
      <w:tr>
        <w:trPr>
          <w:trHeight w:val="153"/>
        </w:trPr>
        <w:tc>
          <w:tcPr>
            <w:tcW w:w="257" w:type="dxa"/>
            <w:vAlign w:val="center"/>
          </w:tcPr>
          <w:p>
            <w:pPr>
              <w:suppressAutoHyphens/>
              <w:snapToGrid w:val="0"/>
              <w:spacing w:after="0" w:line="240" w:lineRule="auto"/>
              <w:ind w:hanging="107"/>
              <w:rPr>
                <w:rFonts w:ascii="Arial Narrow" w:eastAsia="Times New Roman" w:hAnsi="Arial Narrow" w:cs="Arial"/>
                <w:bCs/>
                <w:sz w:val="20"/>
                <w:szCs w:val="20"/>
                <w:lang w:val="en-US" w:eastAsia="ar-SA"/>
              </w:rPr>
            </w:pPr>
          </w:p>
        </w:tc>
        <w:tc>
          <w:tcPr>
            <w:tcW w:w="3566" w:type="dxa"/>
            <w:vAlign w:val="center"/>
            <w:hideMark/>
          </w:tcPr>
          <w:p>
            <w:pPr>
              <w:suppressAutoHyphens/>
              <w:snapToGrid w:val="0"/>
              <w:spacing w:after="0" w:line="240" w:lineRule="auto"/>
              <w:ind w:left="202" w:hanging="283"/>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Maintenance and other operating expenses</w:t>
            </w:r>
          </w:p>
        </w:tc>
        <w:tc>
          <w:tcPr>
            <w:tcW w:w="1701" w:type="dxa"/>
            <w:vAlign w:val="bottom"/>
          </w:tcPr>
          <w:p>
            <w:pPr>
              <w:spacing w:after="0"/>
              <w:ind w:left="-110" w:right="-100"/>
              <w:jc w:val="right"/>
              <w:rPr>
                <w:rFonts w:ascii="Arial Narrow" w:hAnsi="Arial Narrow"/>
                <w:sz w:val="18"/>
                <w:szCs w:val="18"/>
              </w:rPr>
            </w:pPr>
            <w:r>
              <w:rPr>
                <w:rFonts w:ascii="Arial Narrow" w:hAnsi="Arial Narrow"/>
                <w:sz w:val="18"/>
                <w:szCs w:val="18"/>
              </w:rPr>
              <w:t>13,630,486,000.00</w:t>
            </w:r>
          </w:p>
        </w:tc>
        <w:tc>
          <w:tcPr>
            <w:tcW w:w="1559" w:type="dxa"/>
            <w:vAlign w:val="bottom"/>
          </w:tcPr>
          <w:p>
            <w:pPr>
              <w:spacing w:after="0"/>
              <w:ind w:right="-100"/>
              <w:jc w:val="right"/>
              <w:rPr>
                <w:rFonts w:ascii="Arial Narrow" w:hAnsi="Arial Narrow"/>
                <w:sz w:val="18"/>
                <w:szCs w:val="18"/>
              </w:rPr>
            </w:pPr>
            <w:r>
              <w:rPr>
                <w:rFonts w:ascii="Arial Narrow" w:hAnsi="Arial Narrow"/>
                <w:sz w:val="18"/>
                <w:szCs w:val="18"/>
              </w:rPr>
              <w:t>13,680,962,796.00</w:t>
            </w:r>
          </w:p>
        </w:tc>
        <w:tc>
          <w:tcPr>
            <w:tcW w:w="1701" w:type="dxa"/>
            <w:vAlign w:val="bottom"/>
          </w:tcPr>
          <w:p>
            <w:pPr>
              <w:spacing w:after="0" w:line="240" w:lineRule="auto"/>
              <w:ind w:right="-90"/>
              <w:jc w:val="right"/>
              <w:rPr>
                <w:rFonts w:ascii="Arial Narrow" w:hAnsi="Arial Narrow"/>
                <w:sz w:val="20"/>
                <w:szCs w:val="20"/>
                <w:lang w:val="en-US"/>
              </w:rPr>
            </w:pPr>
            <w:r>
              <w:rPr>
                <w:rFonts w:ascii="Arial Narrow" w:hAnsi="Arial Narrow"/>
                <w:sz w:val="18"/>
                <w:szCs w:val="18"/>
              </w:rPr>
              <w:t>(50,476,796.00)</w:t>
            </w:r>
          </w:p>
        </w:tc>
      </w:tr>
      <w:tr>
        <w:trPr>
          <w:trHeight w:val="162"/>
        </w:trPr>
        <w:tc>
          <w:tcPr>
            <w:tcW w:w="3823" w:type="dxa"/>
            <w:gridSpan w:val="2"/>
            <w:vAlign w:val="center"/>
            <w:hideMark/>
          </w:tcPr>
          <w:p>
            <w:pPr>
              <w:suppressAutoHyphens/>
              <w:snapToGrid w:val="0"/>
              <w:spacing w:after="0" w:line="240" w:lineRule="auto"/>
              <w:ind w:hanging="107"/>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Prize Fund</w:t>
            </w:r>
          </w:p>
        </w:tc>
        <w:tc>
          <w:tcPr>
            <w:tcW w:w="1701" w:type="dxa"/>
            <w:vAlign w:val="bottom"/>
          </w:tcPr>
          <w:p>
            <w:pPr>
              <w:suppressAutoHyphens/>
              <w:snapToGrid w:val="0"/>
              <w:spacing w:after="0" w:line="240" w:lineRule="auto"/>
              <w:ind w:left="-110" w:right="-100"/>
              <w:jc w:val="right"/>
              <w:rPr>
                <w:rFonts w:ascii="Arial Narrow" w:eastAsia="Times New Roman" w:hAnsi="Arial Narrow" w:cs="Arial"/>
                <w:bCs/>
                <w:sz w:val="20"/>
                <w:szCs w:val="20"/>
                <w:lang w:val="en-US" w:eastAsia="ar-SA"/>
              </w:rPr>
            </w:pPr>
          </w:p>
        </w:tc>
        <w:tc>
          <w:tcPr>
            <w:tcW w:w="1559" w:type="dxa"/>
            <w:vAlign w:val="bottom"/>
          </w:tcPr>
          <w:p>
            <w:pPr>
              <w:suppressAutoHyphens/>
              <w:snapToGrid w:val="0"/>
              <w:spacing w:after="0" w:line="240" w:lineRule="auto"/>
              <w:ind w:right="-100"/>
              <w:jc w:val="right"/>
              <w:rPr>
                <w:rFonts w:ascii="Arial Narrow" w:eastAsia="Times New Roman" w:hAnsi="Arial Narrow" w:cs="Arial"/>
                <w:bCs/>
                <w:sz w:val="20"/>
                <w:szCs w:val="20"/>
                <w:lang w:val="en-US" w:eastAsia="ar-SA"/>
              </w:rPr>
            </w:pPr>
          </w:p>
        </w:tc>
        <w:tc>
          <w:tcPr>
            <w:tcW w:w="1701" w:type="dxa"/>
            <w:vAlign w:val="bottom"/>
          </w:tcPr>
          <w:p>
            <w:pPr>
              <w:spacing w:after="0" w:line="240" w:lineRule="auto"/>
              <w:ind w:right="-90"/>
              <w:jc w:val="right"/>
              <w:rPr>
                <w:rFonts w:ascii="Arial Narrow" w:hAnsi="Arial Narrow" w:cs="Arial"/>
                <w:sz w:val="20"/>
                <w:szCs w:val="20"/>
                <w:lang w:val="en-US"/>
              </w:rPr>
            </w:pPr>
          </w:p>
        </w:tc>
      </w:tr>
      <w:tr>
        <w:trPr>
          <w:trHeight w:val="99"/>
        </w:trPr>
        <w:tc>
          <w:tcPr>
            <w:tcW w:w="257" w:type="dxa"/>
            <w:vAlign w:val="center"/>
          </w:tcPr>
          <w:p>
            <w:pPr>
              <w:suppressAutoHyphens/>
              <w:snapToGrid w:val="0"/>
              <w:spacing w:after="0" w:line="240" w:lineRule="auto"/>
              <w:rPr>
                <w:rFonts w:ascii="Arial Narrow" w:eastAsia="Times New Roman" w:hAnsi="Arial Narrow" w:cs="Arial"/>
                <w:bCs/>
                <w:sz w:val="20"/>
                <w:szCs w:val="20"/>
                <w:lang w:val="en-US" w:eastAsia="ar-SA"/>
              </w:rPr>
            </w:pPr>
          </w:p>
        </w:tc>
        <w:tc>
          <w:tcPr>
            <w:tcW w:w="3566" w:type="dxa"/>
            <w:vAlign w:val="center"/>
            <w:hideMark/>
          </w:tcPr>
          <w:p>
            <w:pPr>
              <w:suppressAutoHyphens/>
              <w:snapToGrid w:val="0"/>
              <w:spacing w:after="0" w:line="240" w:lineRule="auto"/>
              <w:ind w:left="202" w:hanging="283"/>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Maintenance and other operating expenses</w:t>
            </w:r>
          </w:p>
        </w:tc>
        <w:tc>
          <w:tcPr>
            <w:tcW w:w="1701" w:type="dxa"/>
            <w:vAlign w:val="bottom"/>
          </w:tcPr>
          <w:p>
            <w:pPr>
              <w:spacing w:after="0"/>
              <w:ind w:left="-110" w:right="-100"/>
              <w:jc w:val="right"/>
              <w:rPr>
                <w:rFonts w:ascii="Arial Narrow" w:hAnsi="Arial Narrow"/>
                <w:sz w:val="18"/>
                <w:szCs w:val="18"/>
              </w:rPr>
            </w:pPr>
            <w:r>
              <w:rPr>
                <w:rFonts w:ascii="Arial Narrow" w:hAnsi="Arial Narrow"/>
                <w:sz w:val="18"/>
                <w:szCs w:val="18"/>
              </w:rPr>
              <w:t>24,989,224,000.00</w:t>
            </w:r>
          </w:p>
        </w:tc>
        <w:tc>
          <w:tcPr>
            <w:tcW w:w="1559" w:type="dxa"/>
            <w:vAlign w:val="bottom"/>
          </w:tcPr>
          <w:p>
            <w:pPr>
              <w:spacing w:after="0"/>
              <w:ind w:right="-100"/>
              <w:jc w:val="right"/>
              <w:rPr>
                <w:rFonts w:ascii="Arial Narrow" w:hAnsi="Arial Narrow"/>
                <w:sz w:val="18"/>
                <w:szCs w:val="18"/>
              </w:rPr>
            </w:pPr>
            <w:r>
              <w:rPr>
                <w:rFonts w:ascii="Arial Narrow" w:hAnsi="Arial Narrow"/>
                <w:sz w:val="18"/>
                <w:szCs w:val="18"/>
              </w:rPr>
              <w:t>23,088,247,331.00</w:t>
            </w:r>
          </w:p>
        </w:tc>
        <w:tc>
          <w:tcPr>
            <w:tcW w:w="1701" w:type="dxa"/>
            <w:vAlign w:val="bottom"/>
          </w:tcPr>
          <w:p>
            <w:pPr>
              <w:spacing w:after="0" w:line="240" w:lineRule="auto"/>
              <w:ind w:right="-90"/>
              <w:jc w:val="right"/>
              <w:rPr>
                <w:rFonts w:ascii="Arial Narrow" w:hAnsi="Arial Narrow"/>
                <w:sz w:val="20"/>
                <w:szCs w:val="20"/>
                <w:lang w:val="en-US"/>
              </w:rPr>
            </w:pPr>
            <w:r>
              <w:rPr>
                <w:rFonts w:ascii="Arial Narrow" w:hAnsi="Arial Narrow"/>
                <w:sz w:val="18"/>
                <w:szCs w:val="18"/>
              </w:rPr>
              <w:t>1,900,976,669.00</w:t>
            </w:r>
          </w:p>
        </w:tc>
      </w:tr>
      <w:tr>
        <w:trPr>
          <w:trHeight w:val="99"/>
        </w:trPr>
        <w:tc>
          <w:tcPr>
            <w:tcW w:w="257" w:type="dxa"/>
            <w:tcBorders>
              <w:top w:val="nil"/>
              <w:left w:val="nil"/>
              <w:bottom w:val="single" w:sz="4" w:space="0" w:color="auto"/>
              <w:right w:val="nil"/>
            </w:tcBorders>
            <w:vAlign w:val="center"/>
          </w:tcPr>
          <w:p>
            <w:pPr>
              <w:suppressAutoHyphens/>
              <w:snapToGrid w:val="0"/>
              <w:spacing w:after="0" w:line="240" w:lineRule="auto"/>
              <w:rPr>
                <w:rFonts w:ascii="Arial Narrow" w:eastAsia="Times New Roman" w:hAnsi="Arial Narrow" w:cs="Arial"/>
                <w:bCs/>
                <w:sz w:val="20"/>
                <w:szCs w:val="20"/>
                <w:lang w:val="en-US" w:eastAsia="ar-SA"/>
              </w:rPr>
            </w:pPr>
          </w:p>
        </w:tc>
        <w:tc>
          <w:tcPr>
            <w:tcW w:w="3566" w:type="dxa"/>
            <w:tcBorders>
              <w:top w:val="nil"/>
              <w:left w:val="nil"/>
              <w:bottom w:val="single" w:sz="4" w:space="0" w:color="auto"/>
              <w:right w:val="nil"/>
            </w:tcBorders>
            <w:vAlign w:val="center"/>
            <w:hideMark/>
          </w:tcPr>
          <w:p>
            <w:pPr>
              <w:suppressAutoHyphens/>
              <w:snapToGrid w:val="0"/>
              <w:spacing w:after="0" w:line="240" w:lineRule="auto"/>
              <w:ind w:left="202" w:hanging="283"/>
              <w:rPr>
                <w:rFonts w:ascii="Arial Narrow" w:eastAsia="Times New Roman" w:hAnsi="Arial Narrow" w:cs="Arial"/>
                <w:bCs/>
                <w:sz w:val="20"/>
                <w:szCs w:val="20"/>
                <w:lang w:val="en-US" w:eastAsia="ar-SA"/>
              </w:rPr>
            </w:pPr>
            <w:r>
              <w:rPr>
                <w:rFonts w:ascii="Arial Narrow" w:eastAsia="Times New Roman" w:hAnsi="Arial Narrow" w:cs="Arial"/>
                <w:bCs/>
                <w:sz w:val="20"/>
                <w:szCs w:val="20"/>
                <w:lang w:val="en-US" w:eastAsia="ar-SA"/>
              </w:rPr>
              <w:t>Others (dividend)</w:t>
            </w:r>
          </w:p>
        </w:tc>
        <w:tc>
          <w:tcPr>
            <w:tcW w:w="1701" w:type="dxa"/>
            <w:tcBorders>
              <w:top w:val="nil"/>
              <w:left w:val="nil"/>
              <w:bottom w:val="single" w:sz="4" w:space="0" w:color="auto"/>
              <w:right w:val="nil"/>
            </w:tcBorders>
            <w:vAlign w:val="bottom"/>
          </w:tcPr>
          <w:p>
            <w:pPr>
              <w:spacing w:after="0"/>
              <w:ind w:left="-110" w:right="-100"/>
              <w:jc w:val="right"/>
              <w:rPr>
                <w:rFonts w:ascii="Arial Narrow" w:hAnsi="Arial Narrow"/>
                <w:sz w:val="18"/>
                <w:szCs w:val="18"/>
              </w:rPr>
            </w:pPr>
            <w:r>
              <w:rPr>
                <w:rFonts w:ascii="Arial Narrow" w:hAnsi="Arial Narrow"/>
                <w:sz w:val="18"/>
                <w:szCs w:val="18"/>
              </w:rPr>
              <w:t>858,559,000.00</w:t>
            </w:r>
          </w:p>
        </w:tc>
        <w:tc>
          <w:tcPr>
            <w:tcW w:w="1559" w:type="dxa"/>
            <w:tcBorders>
              <w:top w:val="nil"/>
              <w:left w:val="nil"/>
              <w:bottom w:val="single" w:sz="4" w:space="0" w:color="auto"/>
              <w:right w:val="nil"/>
            </w:tcBorders>
            <w:vAlign w:val="bottom"/>
          </w:tcPr>
          <w:p>
            <w:pPr>
              <w:spacing w:after="0"/>
              <w:ind w:right="-100"/>
              <w:jc w:val="right"/>
              <w:rPr>
                <w:rFonts w:ascii="Arial Narrow" w:hAnsi="Arial Narrow"/>
                <w:sz w:val="18"/>
                <w:szCs w:val="18"/>
              </w:rPr>
            </w:pPr>
            <w:r>
              <w:rPr>
                <w:rFonts w:ascii="Arial Narrow" w:hAnsi="Arial Narrow" w:cs="Calibri"/>
                <w:color w:val="000000"/>
                <w:sz w:val="18"/>
                <w:szCs w:val="18"/>
              </w:rPr>
              <w:t>1,568,102,891.00</w:t>
            </w:r>
          </w:p>
        </w:tc>
        <w:tc>
          <w:tcPr>
            <w:tcW w:w="1701" w:type="dxa"/>
            <w:tcBorders>
              <w:top w:val="nil"/>
              <w:left w:val="nil"/>
              <w:bottom w:val="single" w:sz="4" w:space="0" w:color="auto"/>
              <w:right w:val="nil"/>
            </w:tcBorders>
            <w:vAlign w:val="bottom"/>
          </w:tcPr>
          <w:p>
            <w:pPr>
              <w:spacing w:after="0" w:line="240" w:lineRule="auto"/>
              <w:ind w:right="-90"/>
              <w:jc w:val="right"/>
              <w:rPr>
                <w:rFonts w:ascii="Arial Narrow" w:hAnsi="Arial Narrow"/>
                <w:sz w:val="20"/>
                <w:szCs w:val="20"/>
                <w:lang w:val="en-US"/>
              </w:rPr>
            </w:pPr>
            <w:r>
              <w:rPr>
                <w:rFonts w:ascii="Arial Narrow" w:hAnsi="Arial Narrow"/>
                <w:sz w:val="18"/>
                <w:szCs w:val="18"/>
              </w:rPr>
              <w:t>(709,543,891.00)</w:t>
            </w:r>
          </w:p>
        </w:tc>
      </w:tr>
      <w:tr>
        <w:trPr>
          <w:trHeight w:val="71"/>
        </w:trPr>
        <w:tc>
          <w:tcPr>
            <w:tcW w:w="3823" w:type="dxa"/>
            <w:gridSpan w:val="2"/>
            <w:tcBorders>
              <w:top w:val="single" w:sz="4" w:space="0" w:color="auto"/>
              <w:left w:val="nil"/>
              <w:bottom w:val="double" w:sz="4" w:space="0" w:color="auto"/>
              <w:right w:val="nil"/>
            </w:tcBorders>
            <w:vAlign w:val="center"/>
            <w:hideMark/>
          </w:tcPr>
          <w:p>
            <w:pPr>
              <w:spacing w:after="0" w:line="240" w:lineRule="auto"/>
              <w:ind w:hanging="107"/>
              <w:rPr>
                <w:rFonts w:ascii="Arial Narrow" w:eastAsia="Times New Roman" w:hAnsi="Arial Narrow" w:cs="Arial"/>
                <w:b/>
                <w:sz w:val="20"/>
                <w:szCs w:val="20"/>
                <w:lang w:val="en-US"/>
              </w:rPr>
            </w:pPr>
            <w:r>
              <w:rPr>
                <w:rFonts w:ascii="Arial Narrow" w:eastAsia="Times New Roman" w:hAnsi="Arial Narrow" w:cs="Arial"/>
                <w:b/>
                <w:sz w:val="20"/>
                <w:szCs w:val="20"/>
                <w:lang w:val="en-US"/>
              </w:rPr>
              <w:t>Total</w:t>
            </w:r>
          </w:p>
        </w:tc>
        <w:tc>
          <w:tcPr>
            <w:tcW w:w="1701" w:type="dxa"/>
            <w:tcBorders>
              <w:top w:val="single" w:sz="4" w:space="0" w:color="auto"/>
              <w:left w:val="nil"/>
              <w:bottom w:val="double" w:sz="4" w:space="0" w:color="auto"/>
              <w:right w:val="nil"/>
            </w:tcBorders>
            <w:vAlign w:val="center"/>
          </w:tcPr>
          <w:p>
            <w:pPr>
              <w:spacing w:after="0"/>
              <w:ind w:left="-110" w:right="-100"/>
              <w:jc w:val="right"/>
              <w:rPr>
                <w:rFonts w:ascii="Arial Narrow" w:hAnsi="Arial Narrow"/>
                <w:b/>
                <w:bCs/>
                <w:sz w:val="18"/>
                <w:szCs w:val="18"/>
              </w:rPr>
            </w:pPr>
            <w:r>
              <w:rPr>
                <w:rFonts w:ascii="Arial Narrow" w:hAnsi="Arial Narrow"/>
                <w:b/>
                <w:bCs/>
                <w:sz w:val="18"/>
                <w:szCs w:val="18"/>
              </w:rPr>
              <w:t>46,960,694,000</w:t>
            </w:r>
          </w:p>
        </w:tc>
        <w:tc>
          <w:tcPr>
            <w:tcW w:w="1559" w:type="dxa"/>
            <w:tcBorders>
              <w:top w:val="single" w:sz="4" w:space="0" w:color="auto"/>
              <w:left w:val="nil"/>
              <w:bottom w:val="double" w:sz="4" w:space="0" w:color="auto"/>
              <w:right w:val="nil"/>
            </w:tcBorders>
            <w:vAlign w:val="center"/>
          </w:tcPr>
          <w:p>
            <w:pPr>
              <w:spacing w:after="0"/>
              <w:ind w:right="-100"/>
              <w:jc w:val="right"/>
              <w:rPr>
                <w:rFonts w:ascii="Arial Narrow" w:hAnsi="Arial Narrow"/>
                <w:b/>
                <w:bCs/>
                <w:sz w:val="18"/>
                <w:szCs w:val="18"/>
              </w:rPr>
            </w:pPr>
            <w:r>
              <w:rPr>
                <w:rFonts w:ascii="Arial Narrow" w:hAnsi="Arial Narrow"/>
                <w:b/>
                <w:bCs/>
                <w:sz w:val="18"/>
                <w:szCs w:val="18"/>
              </w:rPr>
              <w:t>40,968,742,751.53</w:t>
            </w:r>
          </w:p>
        </w:tc>
        <w:tc>
          <w:tcPr>
            <w:tcW w:w="1701" w:type="dxa"/>
            <w:tcBorders>
              <w:top w:val="single" w:sz="4" w:space="0" w:color="auto"/>
              <w:left w:val="nil"/>
              <w:bottom w:val="double" w:sz="4" w:space="0" w:color="auto"/>
              <w:right w:val="nil"/>
            </w:tcBorders>
            <w:vAlign w:val="center"/>
          </w:tcPr>
          <w:p>
            <w:pPr>
              <w:spacing w:after="0" w:line="240" w:lineRule="auto"/>
              <w:ind w:right="-90"/>
              <w:jc w:val="right"/>
              <w:rPr>
                <w:rFonts w:ascii="Arial Narrow" w:hAnsi="Arial Narrow"/>
                <w:b/>
                <w:bCs/>
                <w:sz w:val="20"/>
                <w:szCs w:val="20"/>
                <w:lang w:val="en-US"/>
              </w:rPr>
            </w:pPr>
            <w:r>
              <w:rPr>
                <w:rFonts w:ascii="Arial Narrow" w:hAnsi="Arial Narrow"/>
                <w:b/>
                <w:bCs/>
                <w:sz w:val="18"/>
                <w:szCs w:val="18"/>
              </w:rPr>
              <w:t>5,991,951,248.47</w:t>
            </w:r>
          </w:p>
        </w:tc>
      </w:tr>
    </w:tbl>
    <w:p>
      <w:pPr>
        <w:spacing w:after="0" w:line="240" w:lineRule="auto"/>
        <w:jc w:val="both"/>
        <w:rPr>
          <w:rFonts w:ascii="Arial" w:hAnsi="Arial" w:cs="Arial"/>
          <w:b/>
          <w:i/>
          <w:sz w:val="18"/>
          <w:szCs w:val="18"/>
        </w:rPr>
      </w:pPr>
      <w:r>
        <w:rPr>
          <w:rFonts w:ascii="Arial Narrow" w:hAnsi="Arial Narrow"/>
          <w:i/>
          <w:sz w:val="18"/>
          <w:szCs w:val="18"/>
        </w:rPr>
        <w:t>Note: Charity Fund MOOE includes Financial Expense and Financial Assistance/Subsidy/Contribution</w:t>
      </w:r>
    </w:p>
    <w:p>
      <w:pPr>
        <w:spacing w:after="0" w:line="240" w:lineRule="auto"/>
        <w:jc w:val="both"/>
        <w:rPr>
          <w:rFonts w:ascii="Arial" w:hAnsi="Arial" w:cs="Arial"/>
          <w:b/>
          <w:sz w:val="18"/>
          <w:szCs w:val="18"/>
        </w:rPr>
      </w:pPr>
    </w:p>
    <w:p>
      <w:pPr>
        <w:spacing w:after="0" w:line="240" w:lineRule="auto"/>
        <w:jc w:val="both"/>
        <w:rPr>
          <w:rFonts w:ascii="Arial" w:hAnsi="Arial" w:cs="Arial"/>
          <w:b/>
          <w:sz w:val="18"/>
          <w:szCs w:val="18"/>
        </w:rPr>
      </w:pPr>
    </w:p>
    <w:p>
      <w:pPr>
        <w:spacing w:after="0" w:line="240" w:lineRule="auto"/>
        <w:jc w:val="both"/>
        <w:rPr>
          <w:rFonts w:ascii="Arial" w:hAnsi="Arial" w:cs="Arial"/>
          <w:b/>
        </w:rPr>
      </w:pPr>
      <w:r>
        <w:rPr>
          <w:rFonts w:ascii="Arial" w:hAnsi="Arial" w:cs="Arial"/>
          <w:b/>
        </w:rPr>
        <w:t>SCOPE OF AUDIT</w:t>
      </w:r>
    </w:p>
    <w:p>
      <w:pPr>
        <w:spacing w:after="0" w:line="240" w:lineRule="auto"/>
        <w:jc w:val="both"/>
        <w:rPr>
          <w:rFonts w:ascii="Arial" w:eastAsia="Times New Roman" w:hAnsi="Arial" w:cs="Arial"/>
          <w:lang w:val="en-US"/>
        </w:rPr>
      </w:pPr>
    </w:p>
    <w:p>
      <w:pPr>
        <w:spacing w:after="0" w:line="240" w:lineRule="auto"/>
        <w:jc w:val="both"/>
        <w:rPr>
          <w:rFonts w:ascii="Arial" w:eastAsia="Times New Roman" w:hAnsi="Arial" w:cs="Arial"/>
          <w:lang w:val="en-US"/>
        </w:rPr>
      </w:pPr>
      <w:r>
        <w:rPr>
          <w:rFonts w:ascii="Arial" w:eastAsia="Times New Roman" w:hAnsi="Arial" w:cs="Arial"/>
          <w:lang w:val="en-US"/>
        </w:rPr>
        <w:t xml:space="preserve">The audit covered the examination, on a test basis, of the accounts, transactions and operations of the PCSO to enable us to express an opinion on the financial statements for the years ended December 31, 2021 and 2020 in accordance with International Standards of Supreme Audit Institutions (ISSAIs).  It was also conducted to determine PCSO’s </w:t>
      </w:r>
      <w:r>
        <w:rPr>
          <w:rFonts w:ascii="Arial" w:eastAsia="Times New Roman" w:hAnsi="Arial" w:cs="Arial"/>
          <w:lang w:val="en-US"/>
        </w:rPr>
        <w:lastRenderedPageBreak/>
        <w:t xml:space="preserve">compliance with pertinent laws, rules and regulations and adherence to prescribed policies and procedures. </w:t>
      </w:r>
    </w:p>
    <w:p>
      <w:pPr>
        <w:spacing w:after="0" w:line="240" w:lineRule="auto"/>
        <w:ind w:left="360"/>
        <w:jc w:val="both"/>
        <w:rPr>
          <w:rFonts w:ascii="Arial" w:hAnsi="Arial" w:cs="Arial"/>
          <w:sz w:val="18"/>
          <w:szCs w:val="18"/>
        </w:rPr>
      </w:pPr>
    </w:p>
    <w:p>
      <w:pPr>
        <w:spacing w:after="0" w:line="240" w:lineRule="auto"/>
        <w:ind w:left="360"/>
        <w:jc w:val="both"/>
        <w:rPr>
          <w:rFonts w:ascii="Arial" w:hAnsi="Arial" w:cs="Arial"/>
          <w:sz w:val="18"/>
          <w:szCs w:val="18"/>
        </w:rPr>
      </w:pPr>
    </w:p>
    <w:p>
      <w:pPr>
        <w:spacing w:after="0" w:line="240" w:lineRule="auto"/>
        <w:jc w:val="both"/>
        <w:rPr>
          <w:rFonts w:ascii="Arial" w:hAnsi="Arial" w:cs="Arial"/>
          <w:b/>
        </w:rPr>
      </w:pPr>
      <w:r>
        <w:rPr>
          <w:rFonts w:ascii="Arial" w:hAnsi="Arial" w:cs="Arial"/>
          <w:b/>
        </w:rPr>
        <w:t>INDEPENDENT AUDITOR’S REPORT ON THE FINANCIAL STATEMENTS</w:t>
      </w:r>
    </w:p>
    <w:p>
      <w:pPr>
        <w:spacing w:after="0" w:line="240" w:lineRule="auto"/>
        <w:jc w:val="both"/>
        <w:rPr>
          <w:rFonts w:ascii="Arial" w:hAnsi="Arial" w:cs="Arial"/>
          <w:sz w:val="18"/>
          <w:szCs w:val="18"/>
        </w:rPr>
      </w:pPr>
    </w:p>
    <w:p>
      <w:pPr>
        <w:spacing w:after="0" w:line="240" w:lineRule="auto"/>
        <w:jc w:val="both"/>
        <w:rPr>
          <w:rFonts w:ascii="Arial" w:eastAsia="Arial" w:hAnsi="Arial" w:cs="Arial"/>
        </w:rPr>
      </w:pPr>
      <w:r>
        <w:rPr>
          <w:rFonts w:ascii="Arial" w:eastAsia="Arial" w:hAnsi="Arial" w:cs="Arial"/>
        </w:rPr>
        <w:t>We rendered a qualified opinion on the fairness of presentation of the financial statements of the PCSO in view of the following:</w:t>
      </w:r>
    </w:p>
    <w:p>
      <w:pPr>
        <w:spacing w:after="0" w:line="240" w:lineRule="auto"/>
        <w:ind w:right="-288"/>
        <w:jc w:val="both"/>
        <w:rPr>
          <w:rFonts w:ascii="Arial" w:eastAsia="Arial" w:hAnsi="Arial" w:cs="Arial"/>
          <w:sz w:val="18"/>
          <w:szCs w:val="18"/>
        </w:rPr>
      </w:pPr>
    </w:p>
    <w:p>
      <w:pPr>
        <w:pStyle w:val="ListParagraph"/>
        <w:numPr>
          <w:ilvl w:val="0"/>
          <w:numId w:val="2"/>
        </w:numPr>
        <w:ind w:left="709" w:hanging="709"/>
        <w:jc w:val="both"/>
        <w:rPr>
          <w:rFonts w:ascii="Arial" w:hAnsi="Arial" w:cs="Arial"/>
          <w:bCs/>
          <w:sz w:val="22"/>
          <w:szCs w:val="22"/>
        </w:rPr>
      </w:pPr>
      <w:r>
        <w:rPr>
          <w:rFonts w:ascii="Arial" w:hAnsi="Arial" w:cs="Arial"/>
          <w:bCs/>
          <w:sz w:val="22"/>
          <w:szCs w:val="22"/>
        </w:rPr>
        <w:t>The accounts Charity Expenses - Other Health and Welfare Related Program in Calendar Year 2021 and Accounts Payable – Charity Fund were both overstated by P200 million and the Retained Earnings was understated by the same amount, thus affecting the fair presentation of these accounts in the Financial Statements, contrary to Paragraph 15 of the Philippine Accounting Standard (PAS) No. 1, due to the recorded transfer of fund to the Office of the President that did not push through amounting to P200 million for the procurement of Coronavirus Disease-2019 vaccines, for being not authorized nor fully documented, contrary to Section 4, Item Nos. 5 and 6 of Presidential Decree (PD) No. 1445, Section 3.1.1 of COA Circular No. 2012-001 dated June 14, 2012 and Section 3 of Republic Act No. 115251 dated July 27, 2020.</w:t>
      </w:r>
    </w:p>
    <w:p>
      <w:pPr>
        <w:pStyle w:val="ListParagraph"/>
        <w:jc w:val="both"/>
        <w:rPr>
          <w:rFonts w:ascii="Arial" w:hAnsi="Arial" w:cs="Arial"/>
          <w:bCs/>
          <w:sz w:val="22"/>
          <w:szCs w:val="22"/>
        </w:rPr>
      </w:pPr>
    </w:p>
    <w:p>
      <w:pPr>
        <w:pStyle w:val="ListParagraph"/>
        <w:numPr>
          <w:ilvl w:val="0"/>
          <w:numId w:val="2"/>
        </w:numPr>
        <w:ind w:left="709" w:hanging="697"/>
        <w:jc w:val="both"/>
        <w:rPr>
          <w:rFonts w:ascii="Arial" w:hAnsi="Arial" w:cs="Arial"/>
          <w:bCs/>
          <w:iCs/>
          <w:color w:val="000000" w:themeColor="text1"/>
          <w:sz w:val="22"/>
          <w:szCs w:val="22"/>
        </w:rPr>
      </w:pPr>
      <w:r>
        <w:rPr>
          <w:rFonts w:ascii="Arial" w:hAnsi="Arial" w:cs="Arial"/>
          <w:bCs/>
          <w:sz w:val="22"/>
          <w:szCs w:val="22"/>
        </w:rPr>
        <w:t>Approved financial assistance under the Integrated Health for Over-All Productivity and Empowerment (I-HOPE) program in Calendar Year 2019 amounting to P110.349 million remained as outstanding payable as of December 31, 2021 despite the revocation of its approval in February 2020, thereby overstating the Accounts Payable – Miscellaneous-Charity Fund and understating the Retained Earnings by the same amount, contrary to Paragraph 15 of the PAS No.1.</w:t>
      </w:r>
    </w:p>
    <w:p>
      <w:pPr>
        <w:pStyle w:val="NoSpacing"/>
      </w:pPr>
    </w:p>
    <w:p>
      <w:pPr>
        <w:pStyle w:val="ListParagraph"/>
        <w:numPr>
          <w:ilvl w:val="0"/>
          <w:numId w:val="2"/>
        </w:numPr>
        <w:ind w:left="709" w:hanging="697"/>
        <w:jc w:val="both"/>
        <w:rPr>
          <w:rFonts w:ascii="Arial" w:hAnsi="Arial" w:cs="Arial"/>
          <w:bCs/>
          <w:iCs/>
          <w:sz w:val="22"/>
          <w:szCs w:val="22"/>
        </w:rPr>
      </w:pPr>
      <w:r>
        <w:rPr>
          <w:rFonts w:ascii="Arial" w:hAnsi="Arial" w:cs="Arial"/>
          <w:bCs/>
          <w:sz w:val="22"/>
          <w:szCs w:val="22"/>
        </w:rPr>
        <w:t>The recognition of the liability for the 2021 Performance-Based Bonus (PBB) in the amount of P31.353 million pending receipt of the overall and favorable assessment of the Governance Commission for Government-Owned or Controlled Corporations (GCG) and the non-reversal of the accrual for the Calendar Year 2020 PBB with unfavorable results of assessment of the GCG in the amount of P14.748 million, resulted in the overstatement of the Due to Officers and Employee, and the Other Bonuses and Allowances and understatement of Retained Earnings accounts of P46.101 million, P31.353 million and P14.748 million, respectively.</w:t>
      </w:r>
    </w:p>
    <w:p>
      <w:pPr>
        <w:pStyle w:val="NoSpacing"/>
      </w:pPr>
    </w:p>
    <w:p>
      <w:pPr>
        <w:pStyle w:val="ListParagraph"/>
        <w:numPr>
          <w:ilvl w:val="0"/>
          <w:numId w:val="23"/>
        </w:numPr>
        <w:ind w:left="709" w:hanging="709"/>
        <w:jc w:val="both"/>
        <w:rPr>
          <w:rFonts w:ascii="Arial" w:hAnsi="Arial" w:cs="Arial"/>
          <w:bCs/>
          <w:sz w:val="22"/>
          <w:szCs w:val="22"/>
        </w:rPr>
      </w:pPr>
      <w:r>
        <w:rPr>
          <w:rFonts w:ascii="Arial" w:hAnsi="Arial" w:cs="Arial"/>
          <w:bCs/>
          <w:sz w:val="22"/>
          <w:szCs w:val="22"/>
        </w:rPr>
        <w:t xml:space="preserve">The faithful representation in the financial statements of the balance of the Cash and Cash Equivalents account in the amount of P16.130 billion as of December 31, 2021 cannot be ascertained due to:  (a) </w:t>
      </w:r>
      <w:r>
        <w:rPr>
          <w:rFonts w:ascii="Arial" w:hAnsi="Arial" w:cs="Arial"/>
          <w:sz w:val="22"/>
          <w:szCs w:val="22"/>
          <w:lang w:eastAsia="ar-SA"/>
        </w:rPr>
        <w:t xml:space="preserve">variance between the balances per books and the confirmed bank balances of the Main and Operating Fund (OF) accounts in the total amount of P14.851 million; (b) variance of P36.780 million between the balances per books and the confirmed bank balances of the Charity Fund (CF) and Prize Fund (PF) accounts; (c) stale checks and spoiled checks for OF, CF and PF were reported as Outstanding Checks in the Bank Reconciliation Statement (BRS); and (d) closed accounts still having outstanding balances in the books amounting to P3.088 million and P0.689 million, </w:t>
      </w:r>
      <w:r>
        <w:rPr>
          <w:rFonts w:ascii="Arial" w:hAnsi="Arial" w:cs="Arial"/>
          <w:bCs/>
          <w:sz w:val="22"/>
          <w:szCs w:val="22"/>
        </w:rPr>
        <w:t>contrary to Paragraph 15 of PAS No. 1. Moreover, the late submission of the BRS precluded the timely verification of the transactions affecting the cash account, and is not in accordance with Section 7, Chapter 21 of the Government Accounting Manual, Volume I.</w:t>
      </w:r>
    </w:p>
    <w:p>
      <w:pPr>
        <w:pStyle w:val="ListParagraph"/>
        <w:jc w:val="both"/>
        <w:rPr>
          <w:rFonts w:ascii="Arial" w:hAnsi="Arial" w:cs="Arial"/>
          <w:bCs/>
          <w:sz w:val="22"/>
          <w:szCs w:val="22"/>
        </w:rPr>
      </w:pPr>
    </w:p>
    <w:p>
      <w:pPr>
        <w:pStyle w:val="ListParagraph"/>
        <w:numPr>
          <w:ilvl w:val="0"/>
          <w:numId w:val="23"/>
        </w:numPr>
        <w:autoSpaceDE w:val="0"/>
        <w:autoSpaceDN w:val="0"/>
        <w:adjustRightInd w:val="0"/>
        <w:ind w:left="720" w:hanging="720"/>
        <w:jc w:val="both"/>
        <w:rPr>
          <w:rFonts w:ascii="Arial" w:hAnsi="Arial" w:cs="Arial"/>
          <w:bCs/>
        </w:rPr>
      </w:pPr>
      <w:r>
        <w:rPr>
          <w:rFonts w:ascii="Arial" w:hAnsi="Arial" w:cs="Arial"/>
          <w:sz w:val="22"/>
          <w:szCs w:val="22"/>
          <w:lang w:eastAsia="ar-SA"/>
        </w:rPr>
        <w:t>The faithful representation in the financial statements of the balances of the Leased Assets, Buildings and Other Structures, Interest Expense, Depreciation Expense, Accumulated Depreciation and Lease Liability accounts in the amounts of P316.184 million, P9.089 million, P177.711 million, P445.779 million, and P285.121 million, respectively, cannot be ascertained due to: (a) misapplication of the Philippine Financial Reporting Standard (PFRS) No. 16; (b) non-recognition of Depreciation Expense and (c) no proper classification of finance lease payable,  contrary to Paragraphs 22, 23, 26 and 32 of PFRS No. 16 and Paragraphs 60 and 69 of PAS No. 1.</w:t>
      </w:r>
    </w:p>
    <w:p>
      <w:pPr>
        <w:pStyle w:val="ListParagraph"/>
        <w:jc w:val="both"/>
        <w:rPr>
          <w:rFonts w:ascii="Arial" w:hAnsi="Arial" w:cs="Arial"/>
          <w:bCs/>
          <w:sz w:val="22"/>
          <w:szCs w:val="22"/>
        </w:rPr>
      </w:pPr>
    </w:p>
    <w:p>
      <w:pPr>
        <w:pStyle w:val="ListParagraph"/>
        <w:numPr>
          <w:ilvl w:val="0"/>
          <w:numId w:val="2"/>
        </w:numPr>
        <w:ind w:left="720" w:hanging="720"/>
        <w:jc w:val="both"/>
        <w:rPr>
          <w:rFonts w:ascii="Arial" w:hAnsi="Arial" w:cs="Arial"/>
          <w:bCs/>
          <w:sz w:val="22"/>
          <w:szCs w:val="22"/>
        </w:rPr>
      </w:pPr>
      <w:r>
        <w:rPr>
          <w:rFonts w:ascii="Arial" w:hAnsi="Arial" w:cs="Arial"/>
          <w:bCs/>
          <w:sz w:val="22"/>
          <w:szCs w:val="22"/>
        </w:rPr>
        <w:t>The excess prize fund for Small Town Lottery (STL) held in trust by the Authorized Agent Corporations (AACs) amounting to P4.248 million in CY 2021 was not remitted to PCSO at year-end, contrary to Section 18 (d) of the 2020 Revised Implementing Rules and Regulations for STL. Moreover, the Accounting and Budget Department (ABD) failed to record the said excess prize fund, resulting in the overstatement of expenses for prize pay-outs and understatement of the receivable account from the AACs as of December 31, 2021, by the same amount.</w:t>
      </w:r>
    </w:p>
    <w:p>
      <w:pPr>
        <w:pStyle w:val="ListParagraph"/>
        <w:jc w:val="both"/>
        <w:rPr>
          <w:rFonts w:ascii="Arial" w:hAnsi="Arial" w:cs="Arial"/>
          <w:bCs/>
          <w:sz w:val="22"/>
          <w:szCs w:val="22"/>
        </w:rPr>
      </w:pPr>
    </w:p>
    <w:p>
      <w:pPr>
        <w:pStyle w:val="NoSpacing"/>
        <w:jc w:val="both"/>
        <w:rPr>
          <w:rFonts w:ascii="Arial" w:hAnsi="Arial" w:cs="Arial"/>
          <w:bCs/>
        </w:rPr>
      </w:pPr>
      <w:r>
        <w:rPr>
          <w:rFonts w:ascii="Arial" w:hAnsi="Arial" w:cs="Arial"/>
          <w:bCs/>
        </w:rPr>
        <w:t>For the afore-stated observations, we recommended that Management:</w:t>
      </w:r>
    </w:p>
    <w:p>
      <w:pPr>
        <w:spacing w:after="0" w:line="240" w:lineRule="auto"/>
        <w:jc w:val="both"/>
        <w:rPr>
          <w:rFonts w:ascii="Arial" w:hAnsi="Arial" w:cs="Arial"/>
          <w:bCs/>
        </w:rPr>
      </w:pPr>
    </w:p>
    <w:p>
      <w:pPr>
        <w:pStyle w:val="ListParagraph"/>
        <w:numPr>
          <w:ilvl w:val="1"/>
          <w:numId w:val="5"/>
        </w:numPr>
        <w:jc w:val="both"/>
        <w:rPr>
          <w:rFonts w:ascii="Arial" w:hAnsi="Arial" w:cs="Arial"/>
          <w:color w:val="000000" w:themeColor="text1"/>
          <w:sz w:val="22"/>
          <w:szCs w:val="22"/>
        </w:rPr>
      </w:pPr>
      <w:r>
        <w:rPr>
          <w:rFonts w:ascii="Arial" w:hAnsi="Arial" w:cs="Arial"/>
          <w:color w:val="000000" w:themeColor="text1"/>
          <w:sz w:val="22"/>
          <w:szCs w:val="22"/>
        </w:rPr>
        <w:t xml:space="preserve">Direct the concerned </w:t>
      </w:r>
      <w:r>
        <w:rPr>
          <w:rFonts w:ascii="Arial" w:eastAsia="Calibri" w:hAnsi="Arial" w:cs="Arial"/>
          <w:sz w:val="22"/>
          <w:szCs w:val="22"/>
        </w:rPr>
        <w:t>ABD</w:t>
      </w:r>
      <w:r>
        <w:rPr>
          <w:rFonts w:ascii="Arial" w:hAnsi="Arial" w:cs="Arial"/>
          <w:color w:val="000000" w:themeColor="text1"/>
          <w:sz w:val="22"/>
          <w:szCs w:val="22"/>
        </w:rPr>
        <w:t xml:space="preserve"> personnel to </w:t>
      </w:r>
      <w:r>
        <w:rPr>
          <w:rFonts w:ascii="Arial" w:hAnsi="Arial" w:cs="Arial"/>
          <w:sz w:val="22"/>
          <w:szCs w:val="22"/>
        </w:rPr>
        <w:t>cancel the Check No. 457233 dated November 5, 2021 and the corresponding Disbursement Voucher (DV) No</w:t>
      </w:r>
      <w:r>
        <w:t xml:space="preserve"> </w:t>
      </w:r>
      <w:r>
        <w:rPr>
          <w:rFonts w:ascii="Arial" w:hAnsi="Arial" w:cs="Arial"/>
          <w:sz w:val="22"/>
          <w:szCs w:val="22"/>
        </w:rPr>
        <w:t>CF2111017913 to correct the overstatement of the affected accounts by debiting Accounts Payable – Charity Fund and crediting Retained Earnings – Charity Fund by P200 million</w:t>
      </w:r>
      <w:r>
        <w:rPr>
          <w:rFonts w:ascii="Arial" w:hAnsi="Arial" w:cs="Arial"/>
          <w:b/>
          <w:sz w:val="22"/>
          <w:szCs w:val="22"/>
        </w:rPr>
        <w:t>.</w:t>
      </w:r>
    </w:p>
    <w:p>
      <w:pPr>
        <w:pStyle w:val="ListParagraph"/>
        <w:jc w:val="both"/>
        <w:rPr>
          <w:rFonts w:ascii="Arial" w:hAnsi="Arial" w:cs="Arial"/>
          <w:color w:val="000000" w:themeColor="text1"/>
          <w:sz w:val="22"/>
          <w:szCs w:val="22"/>
        </w:rPr>
      </w:pPr>
    </w:p>
    <w:p>
      <w:pPr>
        <w:pStyle w:val="ListParagraph"/>
        <w:numPr>
          <w:ilvl w:val="1"/>
          <w:numId w:val="5"/>
        </w:numPr>
        <w:jc w:val="both"/>
        <w:rPr>
          <w:rFonts w:ascii="Arial" w:hAnsi="Arial" w:cs="Arial"/>
          <w:color w:val="000000" w:themeColor="text1"/>
          <w:sz w:val="22"/>
          <w:szCs w:val="22"/>
        </w:rPr>
      </w:pPr>
      <w:r>
        <w:rPr>
          <w:rFonts w:ascii="Arial" w:hAnsi="Arial" w:cs="Arial"/>
          <w:sz w:val="22"/>
          <w:szCs w:val="22"/>
        </w:rPr>
        <w:t>Ensure that transfer of funds are duly authorized and documented in compliance with of Section 4, Item Nos. 5 and 6 of PD No. 1445 and COA Circular No. 2012-001 dated June 14, 2012.</w:t>
      </w:r>
    </w:p>
    <w:p>
      <w:pPr>
        <w:pStyle w:val="ListParagraph"/>
        <w:jc w:val="both"/>
        <w:rPr>
          <w:rFonts w:ascii="Arial" w:hAnsi="Arial" w:cs="Arial"/>
          <w:color w:val="000000" w:themeColor="text1"/>
          <w:sz w:val="22"/>
          <w:szCs w:val="22"/>
        </w:rPr>
      </w:pPr>
    </w:p>
    <w:p>
      <w:pPr>
        <w:pStyle w:val="ListParagraph"/>
        <w:numPr>
          <w:ilvl w:val="0"/>
          <w:numId w:val="5"/>
        </w:numPr>
        <w:jc w:val="both"/>
        <w:rPr>
          <w:rFonts w:ascii="Arial" w:eastAsia="Calibri" w:hAnsi="Arial" w:cs="Arial"/>
          <w:vanish/>
          <w:sz w:val="22"/>
          <w:szCs w:val="22"/>
        </w:rPr>
      </w:pPr>
    </w:p>
    <w:p>
      <w:pPr>
        <w:pStyle w:val="ListParagraph"/>
        <w:numPr>
          <w:ilvl w:val="1"/>
          <w:numId w:val="5"/>
        </w:numPr>
        <w:jc w:val="both"/>
        <w:rPr>
          <w:rFonts w:ascii="Arial" w:hAnsi="Arial" w:cs="Arial"/>
          <w:bCs/>
          <w:sz w:val="22"/>
          <w:szCs w:val="22"/>
        </w:rPr>
      </w:pPr>
      <w:r>
        <w:rPr>
          <w:rFonts w:ascii="Arial" w:eastAsia="Calibri" w:hAnsi="Arial" w:cs="Arial"/>
          <w:sz w:val="22"/>
          <w:szCs w:val="22"/>
        </w:rPr>
        <w:t xml:space="preserve">Direct the ABD </w:t>
      </w:r>
      <w:r>
        <w:rPr>
          <w:rFonts w:ascii="Arial" w:hAnsi="Arial" w:cs="Arial"/>
          <w:sz w:val="22"/>
          <w:szCs w:val="22"/>
          <w:lang w:eastAsia="en-PH"/>
        </w:rPr>
        <w:t xml:space="preserve">to correct the overstatement of the </w:t>
      </w:r>
      <w:r>
        <w:rPr>
          <w:rFonts w:ascii="Arial" w:hAnsi="Arial" w:cs="Arial"/>
          <w:sz w:val="22"/>
          <w:szCs w:val="22"/>
        </w:rPr>
        <w:t>Accounts Payable-Miscellaneous-Charity Fund</w:t>
      </w:r>
      <w:r>
        <w:rPr>
          <w:rFonts w:ascii="Arial" w:hAnsi="Arial" w:cs="Arial"/>
          <w:sz w:val="22"/>
          <w:szCs w:val="22"/>
          <w:lang w:eastAsia="en-PH"/>
        </w:rPr>
        <w:t xml:space="preserve"> and understatement of the Retained Earnings account caused by the revocation of the B.R. No </w:t>
      </w:r>
      <w:r>
        <w:rPr>
          <w:rFonts w:ascii="Arial" w:hAnsi="Arial" w:cs="Arial"/>
          <w:sz w:val="22"/>
          <w:szCs w:val="22"/>
        </w:rPr>
        <w:t>454 s. 2019</w:t>
      </w:r>
      <w:r>
        <w:rPr>
          <w:rFonts w:ascii="Arial" w:hAnsi="Arial" w:cs="Arial"/>
          <w:sz w:val="22"/>
          <w:szCs w:val="22"/>
          <w:lang w:eastAsia="en-PH"/>
        </w:rPr>
        <w:t xml:space="preserve"> and cancellation of the approval of the grant of financial assistance under </w:t>
      </w:r>
      <w:r>
        <w:rPr>
          <w:rFonts w:ascii="Arial" w:hAnsi="Arial" w:cs="Arial"/>
          <w:bCs/>
          <w:sz w:val="22"/>
          <w:szCs w:val="22"/>
        </w:rPr>
        <w:t xml:space="preserve">I-HOPE </w:t>
      </w:r>
      <w:r>
        <w:rPr>
          <w:rFonts w:ascii="Arial" w:hAnsi="Arial" w:cs="Arial"/>
          <w:sz w:val="22"/>
          <w:szCs w:val="22"/>
          <w:lang w:eastAsia="en-PH"/>
        </w:rPr>
        <w:t xml:space="preserve">program, to faithfully represent the said accounts and the covered transactions in compliance with Paragraph 15 of PAS 1. </w:t>
      </w:r>
    </w:p>
    <w:p>
      <w:pPr>
        <w:pStyle w:val="ListParagraph"/>
        <w:ind w:left="1080"/>
        <w:contextualSpacing/>
        <w:jc w:val="both"/>
        <w:rPr>
          <w:rFonts w:ascii="Arial" w:hAnsi="Arial" w:cs="Arial"/>
          <w:bCs/>
          <w:sz w:val="22"/>
          <w:szCs w:val="22"/>
        </w:rPr>
      </w:pPr>
    </w:p>
    <w:p>
      <w:pPr>
        <w:pStyle w:val="ListParagraph"/>
        <w:numPr>
          <w:ilvl w:val="0"/>
          <w:numId w:val="7"/>
        </w:numPr>
        <w:jc w:val="both"/>
        <w:rPr>
          <w:rFonts w:ascii="Arial" w:hAnsi="Arial" w:cs="Arial"/>
          <w:vanish/>
          <w:color w:val="000000" w:themeColor="text1"/>
          <w:sz w:val="22"/>
          <w:szCs w:val="22"/>
          <w:lang w:eastAsia="ar-SA"/>
        </w:rPr>
      </w:pPr>
    </w:p>
    <w:p>
      <w:pPr>
        <w:pStyle w:val="ListParagraph"/>
        <w:numPr>
          <w:ilvl w:val="0"/>
          <w:numId w:val="7"/>
        </w:numPr>
        <w:jc w:val="both"/>
        <w:rPr>
          <w:rFonts w:ascii="Arial" w:hAnsi="Arial" w:cs="Arial"/>
          <w:vanish/>
          <w:color w:val="000000" w:themeColor="text1"/>
          <w:sz w:val="22"/>
          <w:szCs w:val="22"/>
          <w:lang w:eastAsia="ar-SA"/>
        </w:rPr>
      </w:pPr>
    </w:p>
    <w:p>
      <w:pPr>
        <w:pStyle w:val="ListParagraph"/>
        <w:numPr>
          <w:ilvl w:val="1"/>
          <w:numId w:val="7"/>
        </w:numPr>
        <w:ind w:left="720"/>
        <w:jc w:val="both"/>
        <w:rPr>
          <w:rFonts w:ascii="Arial" w:hAnsi="Arial" w:cs="Arial"/>
          <w:i/>
          <w:color w:val="000000" w:themeColor="text1"/>
          <w:sz w:val="22"/>
          <w:szCs w:val="22"/>
        </w:rPr>
      </w:pPr>
      <w:r>
        <w:rPr>
          <w:rFonts w:ascii="Arial" w:hAnsi="Arial" w:cs="Arial"/>
          <w:color w:val="000000" w:themeColor="text1"/>
          <w:sz w:val="22"/>
          <w:szCs w:val="22"/>
          <w:lang w:eastAsia="ar-SA"/>
        </w:rPr>
        <w:t xml:space="preserve">Direct the concerned ABD personnel to draw a Journal Entry Voucher to reverse the accrual made for CYs 2021 and 2020 PBB totaling P46.101 million to correct the </w:t>
      </w:r>
      <w:r>
        <w:rPr>
          <w:rFonts w:ascii="Arial" w:hAnsi="Arial" w:cs="Arial"/>
          <w:bCs/>
          <w:sz w:val="22"/>
          <w:szCs w:val="22"/>
        </w:rPr>
        <w:t>overstatement of the Due to Officers and Employees and the understatement of Retained Earnings accounts each by P46.101.</w:t>
      </w:r>
    </w:p>
    <w:p>
      <w:pPr>
        <w:pStyle w:val="ListParagraph"/>
        <w:jc w:val="both"/>
        <w:rPr>
          <w:rFonts w:ascii="Arial" w:hAnsi="Arial" w:cs="Arial"/>
          <w:i/>
          <w:color w:val="000000" w:themeColor="text1"/>
          <w:sz w:val="22"/>
          <w:szCs w:val="22"/>
        </w:rPr>
      </w:pPr>
    </w:p>
    <w:p>
      <w:pPr>
        <w:pStyle w:val="ListParagraph"/>
        <w:numPr>
          <w:ilvl w:val="1"/>
          <w:numId w:val="7"/>
        </w:numPr>
        <w:ind w:left="720"/>
        <w:jc w:val="both"/>
        <w:rPr>
          <w:rFonts w:ascii="Arial" w:hAnsi="Arial" w:cs="Arial"/>
          <w:i/>
          <w:color w:val="000000" w:themeColor="text1"/>
          <w:sz w:val="22"/>
          <w:szCs w:val="22"/>
        </w:rPr>
      </w:pPr>
      <w:r>
        <w:rPr>
          <w:rFonts w:ascii="Arial" w:hAnsi="Arial" w:cs="Arial"/>
          <w:sz w:val="22"/>
          <w:szCs w:val="22"/>
          <w:lang w:eastAsia="ar-SA"/>
        </w:rPr>
        <w:t>Disclose the related information in the Notes to FS in accordance with Paragraph 86 of PAS No. 37.</w:t>
      </w:r>
    </w:p>
    <w:p>
      <w:pPr>
        <w:pStyle w:val="ListParagraph"/>
        <w:ind w:left="1276" w:hanging="567"/>
        <w:jc w:val="both"/>
        <w:rPr>
          <w:rFonts w:ascii="Arial" w:hAnsi="Arial" w:cs="Arial"/>
          <w:bCs/>
          <w:color w:val="000000" w:themeColor="text1"/>
          <w:sz w:val="22"/>
          <w:szCs w:val="22"/>
          <w:lang w:eastAsia="ar-SA"/>
        </w:rPr>
      </w:pPr>
    </w:p>
    <w:p>
      <w:pPr>
        <w:pStyle w:val="ListParagraph"/>
        <w:ind w:left="1276" w:hanging="567"/>
        <w:jc w:val="both"/>
        <w:rPr>
          <w:rFonts w:ascii="Arial" w:hAnsi="Arial" w:cs="Arial"/>
          <w:bCs/>
          <w:color w:val="000000" w:themeColor="text1"/>
          <w:sz w:val="22"/>
          <w:szCs w:val="22"/>
          <w:lang w:eastAsia="ar-SA"/>
        </w:rPr>
      </w:pPr>
    </w:p>
    <w:p>
      <w:pPr>
        <w:pStyle w:val="ListParagraph"/>
        <w:ind w:left="1276" w:hanging="567"/>
        <w:jc w:val="both"/>
        <w:rPr>
          <w:rFonts w:ascii="Arial" w:hAnsi="Arial" w:cs="Arial"/>
          <w:bCs/>
          <w:color w:val="000000" w:themeColor="text1"/>
          <w:sz w:val="22"/>
          <w:szCs w:val="22"/>
          <w:lang w:eastAsia="ar-SA"/>
        </w:rPr>
      </w:pPr>
    </w:p>
    <w:p>
      <w:pPr>
        <w:pStyle w:val="ListParagraph"/>
        <w:ind w:left="1276" w:hanging="567"/>
        <w:jc w:val="both"/>
        <w:rPr>
          <w:rFonts w:ascii="Arial" w:hAnsi="Arial" w:cs="Arial"/>
          <w:bCs/>
          <w:color w:val="000000" w:themeColor="text1"/>
          <w:sz w:val="22"/>
          <w:szCs w:val="22"/>
          <w:lang w:eastAsia="ar-SA"/>
        </w:rPr>
      </w:pPr>
    </w:p>
    <w:p>
      <w:pPr>
        <w:pStyle w:val="ListParagraph"/>
        <w:ind w:left="1276" w:hanging="567"/>
        <w:jc w:val="both"/>
        <w:rPr>
          <w:rFonts w:ascii="Arial" w:hAnsi="Arial" w:cs="Arial"/>
          <w:bCs/>
          <w:color w:val="000000" w:themeColor="text1"/>
          <w:sz w:val="22"/>
          <w:szCs w:val="22"/>
          <w:lang w:eastAsia="ar-SA"/>
        </w:rPr>
      </w:pPr>
    </w:p>
    <w:p>
      <w:pPr>
        <w:pStyle w:val="ListParagraph"/>
        <w:ind w:left="1276" w:hanging="567"/>
        <w:jc w:val="both"/>
        <w:rPr>
          <w:rFonts w:ascii="Arial" w:hAnsi="Arial" w:cs="Arial"/>
          <w:bCs/>
          <w:color w:val="000000" w:themeColor="text1"/>
          <w:sz w:val="22"/>
          <w:szCs w:val="22"/>
          <w:lang w:eastAsia="ar-SA"/>
        </w:rPr>
      </w:pPr>
    </w:p>
    <w:p>
      <w:pPr>
        <w:pStyle w:val="ListParagraph"/>
        <w:numPr>
          <w:ilvl w:val="0"/>
          <w:numId w:val="10"/>
        </w:numPr>
        <w:jc w:val="both"/>
        <w:rPr>
          <w:rFonts w:ascii="Arial" w:hAnsi="Arial" w:cs="Arial"/>
          <w:vanish/>
          <w:sz w:val="22"/>
          <w:szCs w:val="22"/>
        </w:rPr>
      </w:pPr>
    </w:p>
    <w:p>
      <w:pPr>
        <w:pStyle w:val="ListParagraph"/>
        <w:numPr>
          <w:ilvl w:val="0"/>
          <w:numId w:val="10"/>
        </w:numPr>
        <w:jc w:val="both"/>
        <w:rPr>
          <w:rFonts w:ascii="Arial" w:hAnsi="Arial" w:cs="Arial"/>
          <w:vanish/>
          <w:sz w:val="22"/>
          <w:szCs w:val="22"/>
        </w:rPr>
      </w:pPr>
    </w:p>
    <w:p>
      <w:pPr>
        <w:pStyle w:val="ListParagraph"/>
        <w:numPr>
          <w:ilvl w:val="1"/>
          <w:numId w:val="10"/>
        </w:numPr>
        <w:ind w:left="720"/>
        <w:jc w:val="both"/>
        <w:rPr>
          <w:rFonts w:ascii="Arial" w:hAnsi="Arial" w:cs="Arial"/>
          <w:sz w:val="22"/>
          <w:szCs w:val="22"/>
        </w:rPr>
      </w:pPr>
      <w:r>
        <w:rPr>
          <w:rFonts w:ascii="Arial" w:hAnsi="Arial" w:cs="Arial"/>
          <w:sz w:val="22"/>
          <w:szCs w:val="22"/>
        </w:rPr>
        <w:t>Instruct the concerned ABD personnel to:</w:t>
      </w:r>
    </w:p>
    <w:p>
      <w:pPr>
        <w:pStyle w:val="ListParagraph"/>
        <w:jc w:val="both"/>
        <w:rPr>
          <w:rFonts w:ascii="Arial" w:hAnsi="Arial" w:cs="Arial"/>
          <w:sz w:val="22"/>
          <w:szCs w:val="22"/>
        </w:rPr>
      </w:pPr>
    </w:p>
    <w:p>
      <w:pPr>
        <w:pStyle w:val="ListParagraph"/>
        <w:numPr>
          <w:ilvl w:val="0"/>
          <w:numId w:val="9"/>
        </w:numPr>
        <w:ind w:left="1276" w:hanging="567"/>
        <w:contextualSpacing/>
        <w:jc w:val="both"/>
        <w:rPr>
          <w:rFonts w:ascii="Arial" w:hAnsi="Arial" w:cs="Arial"/>
          <w:sz w:val="22"/>
          <w:szCs w:val="22"/>
        </w:rPr>
      </w:pPr>
      <w:r>
        <w:rPr>
          <w:rFonts w:ascii="Arial" w:hAnsi="Arial" w:cs="Arial"/>
          <w:sz w:val="22"/>
          <w:szCs w:val="22"/>
          <w:lang w:eastAsia="ar-SA"/>
        </w:rPr>
        <w:t>Effect the necessary adjustments, after a thorough evaluation of the reconciling items for each of the bank accounts.</w:t>
      </w:r>
    </w:p>
    <w:p>
      <w:pPr>
        <w:pStyle w:val="ListParagraph"/>
        <w:ind w:left="1276" w:hanging="567"/>
        <w:contextualSpacing/>
        <w:jc w:val="both"/>
        <w:rPr>
          <w:rFonts w:ascii="Arial" w:hAnsi="Arial" w:cs="Arial"/>
          <w:sz w:val="22"/>
          <w:szCs w:val="22"/>
        </w:rPr>
      </w:pPr>
    </w:p>
    <w:p>
      <w:pPr>
        <w:pStyle w:val="ListParagraph"/>
        <w:numPr>
          <w:ilvl w:val="0"/>
          <w:numId w:val="9"/>
        </w:numPr>
        <w:ind w:left="1276" w:hanging="567"/>
        <w:contextualSpacing/>
        <w:jc w:val="both"/>
        <w:rPr>
          <w:rFonts w:ascii="Arial" w:hAnsi="Arial" w:cs="Arial"/>
          <w:sz w:val="22"/>
          <w:szCs w:val="22"/>
        </w:rPr>
      </w:pPr>
      <w:r>
        <w:rPr>
          <w:rFonts w:ascii="Arial" w:hAnsi="Arial" w:cs="Arial"/>
          <w:sz w:val="22"/>
          <w:szCs w:val="22"/>
          <w:lang w:eastAsia="ar-SA"/>
        </w:rPr>
        <w:t xml:space="preserve">Intensify the efforts in coordinating with the corresponding depository banks to clear out the details of the bank reconciling items giving priority to investigate the cause/s of the alleged unposted deposits with a total amount of P2.102 million under the Operating Fund accounts so that appropriate action may be taken thereafter. </w:t>
      </w:r>
    </w:p>
    <w:p>
      <w:pPr>
        <w:pStyle w:val="ListParagraph"/>
        <w:ind w:left="1276" w:hanging="567"/>
        <w:rPr>
          <w:rFonts w:ascii="Arial" w:eastAsia="Calibri" w:hAnsi="Arial" w:cs="Arial"/>
          <w:sz w:val="22"/>
          <w:szCs w:val="22"/>
        </w:rPr>
      </w:pPr>
    </w:p>
    <w:p>
      <w:pPr>
        <w:pStyle w:val="ListParagraph"/>
        <w:numPr>
          <w:ilvl w:val="0"/>
          <w:numId w:val="9"/>
        </w:numPr>
        <w:ind w:left="1276" w:hanging="567"/>
        <w:contextualSpacing/>
        <w:jc w:val="both"/>
        <w:rPr>
          <w:rFonts w:ascii="Arial" w:hAnsi="Arial" w:cs="Arial"/>
          <w:sz w:val="22"/>
          <w:szCs w:val="22"/>
        </w:rPr>
      </w:pPr>
      <w:r>
        <w:rPr>
          <w:rFonts w:ascii="Arial" w:hAnsi="Arial" w:cs="Arial"/>
          <w:sz w:val="22"/>
          <w:szCs w:val="22"/>
          <w:lang w:eastAsia="ar-SA"/>
        </w:rPr>
        <w:t>Prepare the necessary adjusting entries to correct the understatement of the Cash in Bank account resulting from the non-reversal/cancellation of stale and spoiled checks reported as outstanding checks amounting to P29.568 million by debiting the Cash in Bank and crediting the Accounts Payable (AP) by the same amount.</w:t>
      </w:r>
    </w:p>
    <w:p>
      <w:pPr>
        <w:pStyle w:val="NoSpacing"/>
      </w:pPr>
    </w:p>
    <w:p>
      <w:pPr>
        <w:pStyle w:val="ListParagraph"/>
        <w:numPr>
          <w:ilvl w:val="0"/>
          <w:numId w:val="9"/>
        </w:numPr>
        <w:ind w:left="1276" w:hanging="567"/>
        <w:contextualSpacing/>
        <w:jc w:val="both"/>
        <w:rPr>
          <w:rFonts w:ascii="Arial" w:hAnsi="Arial" w:cs="Arial"/>
          <w:sz w:val="22"/>
          <w:szCs w:val="22"/>
        </w:rPr>
      </w:pPr>
      <w:r>
        <w:rPr>
          <w:rFonts w:ascii="Arial" w:hAnsi="Arial" w:cs="Arial"/>
          <w:sz w:val="22"/>
          <w:szCs w:val="22"/>
          <w:lang w:eastAsia="ar-SA"/>
        </w:rPr>
        <w:t>Regularly coordinate with the Treasury Department for the immediate reconciliation of accounts, verification of reports and timely adjustments of stale and spoiled checks and exert effort to call the attention of the payees who are holding stale checks for cancellation and reissuance of new checks.</w:t>
      </w:r>
      <w:r>
        <w:rPr>
          <w:rFonts w:ascii="Arial" w:hAnsi="Arial" w:cs="Arial"/>
          <w:b/>
          <w:sz w:val="22"/>
          <w:szCs w:val="22"/>
          <w:lang w:eastAsia="ar-SA"/>
        </w:rPr>
        <w:t xml:space="preserve"> </w:t>
      </w:r>
    </w:p>
    <w:p>
      <w:pPr>
        <w:pStyle w:val="ListParagraph"/>
        <w:ind w:left="1276"/>
        <w:contextualSpacing/>
        <w:jc w:val="both"/>
        <w:rPr>
          <w:rFonts w:ascii="Arial" w:hAnsi="Arial" w:cs="Arial"/>
          <w:sz w:val="22"/>
          <w:szCs w:val="22"/>
        </w:rPr>
      </w:pPr>
    </w:p>
    <w:p>
      <w:pPr>
        <w:pStyle w:val="ListParagraph"/>
        <w:numPr>
          <w:ilvl w:val="0"/>
          <w:numId w:val="9"/>
        </w:numPr>
        <w:ind w:left="1276" w:hanging="567"/>
        <w:contextualSpacing/>
        <w:jc w:val="both"/>
        <w:rPr>
          <w:rFonts w:ascii="Arial" w:hAnsi="Arial" w:cs="Arial"/>
          <w:sz w:val="22"/>
          <w:szCs w:val="22"/>
        </w:rPr>
      </w:pPr>
      <w:r>
        <w:rPr>
          <w:rFonts w:ascii="Arial" w:hAnsi="Arial" w:cs="Arial"/>
          <w:sz w:val="22"/>
          <w:szCs w:val="22"/>
          <w:lang w:eastAsia="ar-SA"/>
        </w:rPr>
        <w:t>Verify the reported book balance of P3.778 million for the closed bank accounts, after which make the necessary adjusting entries in the books in order to correct the overstatement of the Cash and Cash Equivalents account.</w:t>
      </w:r>
    </w:p>
    <w:p>
      <w:pPr>
        <w:pStyle w:val="NoSpacing"/>
      </w:pPr>
    </w:p>
    <w:p>
      <w:pPr>
        <w:pStyle w:val="ListParagraph"/>
        <w:numPr>
          <w:ilvl w:val="0"/>
          <w:numId w:val="9"/>
        </w:numPr>
        <w:ind w:left="1276" w:hanging="567"/>
        <w:contextualSpacing/>
        <w:jc w:val="both"/>
        <w:rPr>
          <w:rFonts w:ascii="Arial" w:hAnsi="Arial" w:cs="Arial"/>
          <w:sz w:val="22"/>
          <w:szCs w:val="22"/>
        </w:rPr>
      </w:pPr>
      <w:r>
        <w:rPr>
          <w:rFonts w:ascii="Arial" w:hAnsi="Arial" w:cs="Arial"/>
          <w:sz w:val="22"/>
          <w:szCs w:val="22"/>
          <w:lang w:eastAsia="ar-SA"/>
        </w:rPr>
        <w:t>Make proper representation with the depository bank for the regular and timely receipt of the monthly bank statements, and update the Subsidiary Ledgers on a monthly basis.</w:t>
      </w:r>
    </w:p>
    <w:p>
      <w:pPr>
        <w:pStyle w:val="ListParagraph"/>
        <w:rPr>
          <w:rFonts w:ascii="Arial" w:hAnsi="Arial" w:cs="Arial"/>
          <w:sz w:val="22"/>
          <w:szCs w:val="22"/>
          <w:lang w:eastAsia="ar-SA"/>
        </w:rPr>
      </w:pPr>
    </w:p>
    <w:p>
      <w:pPr>
        <w:pStyle w:val="ListParagraph"/>
        <w:numPr>
          <w:ilvl w:val="0"/>
          <w:numId w:val="9"/>
        </w:numPr>
        <w:ind w:left="1276" w:hanging="567"/>
        <w:contextualSpacing/>
        <w:jc w:val="both"/>
        <w:rPr>
          <w:rFonts w:ascii="Arial" w:hAnsi="Arial" w:cs="Arial"/>
          <w:sz w:val="22"/>
          <w:szCs w:val="22"/>
        </w:rPr>
      </w:pPr>
      <w:r>
        <w:rPr>
          <w:rFonts w:ascii="Arial" w:hAnsi="Arial" w:cs="Arial"/>
          <w:sz w:val="22"/>
          <w:szCs w:val="22"/>
          <w:lang w:eastAsia="en-PH"/>
        </w:rPr>
        <w:t>Moreover, we recommended that Management address the issue on manpower constraints to ensure the timely preparation of monthly BRS for all the bank accounts of the PCSO and facilitate the prompt reconciliation of discrepancies.</w:t>
      </w:r>
    </w:p>
    <w:p>
      <w:pPr>
        <w:pStyle w:val="ListParagraph"/>
        <w:ind w:left="1276"/>
        <w:contextualSpacing/>
        <w:jc w:val="both"/>
        <w:rPr>
          <w:rFonts w:ascii="Arial" w:hAnsi="Arial" w:cs="Arial"/>
          <w:sz w:val="22"/>
          <w:szCs w:val="22"/>
        </w:rPr>
      </w:pPr>
    </w:p>
    <w:p>
      <w:pPr>
        <w:pStyle w:val="ListParagraph"/>
        <w:numPr>
          <w:ilvl w:val="0"/>
          <w:numId w:val="13"/>
        </w:numPr>
        <w:jc w:val="both"/>
        <w:rPr>
          <w:rFonts w:ascii="Arial" w:hAnsi="Arial" w:cs="Arial"/>
          <w:vanish/>
          <w:sz w:val="22"/>
          <w:szCs w:val="22"/>
        </w:rPr>
      </w:pPr>
    </w:p>
    <w:p>
      <w:pPr>
        <w:pStyle w:val="ListParagraph"/>
        <w:numPr>
          <w:ilvl w:val="0"/>
          <w:numId w:val="13"/>
        </w:numPr>
        <w:jc w:val="both"/>
        <w:rPr>
          <w:rFonts w:ascii="Arial" w:hAnsi="Arial" w:cs="Arial"/>
          <w:vanish/>
          <w:sz w:val="22"/>
          <w:szCs w:val="22"/>
        </w:rPr>
      </w:pPr>
    </w:p>
    <w:p>
      <w:pPr>
        <w:pStyle w:val="ListParagraph"/>
        <w:numPr>
          <w:ilvl w:val="1"/>
          <w:numId w:val="13"/>
        </w:numPr>
        <w:ind w:left="720"/>
        <w:jc w:val="both"/>
        <w:rPr>
          <w:rFonts w:ascii="Arial" w:hAnsi="Arial" w:cs="Arial"/>
          <w:bCs/>
        </w:rPr>
      </w:pPr>
      <w:r>
        <w:rPr>
          <w:rFonts w:ascii="Arial" w:hAnsi="Arial" w:cs="Arial"/>
          <w:color w:val="000000" w:themeColor="text1"/>
          <w:sz w:val="22"/>
          <w:szCs w:val="22"/>
          <w:lang w:eastAsia="ar-SA"/>
        </w:rPr>
        <w:t>Direct the concerned ABD personnel</w:t>
      </w:r>
      <w:r>
        <w:rPr>
          <w:rFonts w:ascii="Arial" w:hAnsi="Arial" w:cs="Arial"/>
          <w:sz w:val="22"/>
          <w:szCs w:val="22"/>
        </w:rPr>
        <w:t xml:space="preserve"> to: (a) effect the necessary adjusting journal entries to correct the overstatements of the </w:t>
      </w:r>
      <w:r>
        <w:rPr>
          <w:rFonts w:ascii="Arial" w:hAnsi="Arial" w:cs="Arial"/>
          <w:bCs/>
          <w:sz w:val="22"/>
          <w:szCs w:val="22"/>
        </w:rPr>
        <w:t>Leased Assets, Buildings and Other Structures, Interest Expense, Depreciation Expense and Accumulated Depreciation by P1.627 million, P0.895 million, P0.542 million and P0.542 million respectively, and the understatement of Prepaid Rent by P2.522 million</w:t>
      </w:r>
      <w:r>
        <w:rPr>
          <w:rFonts w:ascii="Arial" w:hAnsi="Arial" w:cs="Arial"/>
          <w:sz w:val="22"/>
          <w:szCs w:val="22"/>
          <w:lang w:eastAsia="en-PH"/>
        </w:rPr>
        <w:t xml:space="preserve"> (b) </w:t>
      </w:r>
      <w:r>
        <w:rPr>
          <w:rFonts w:ascii="Arial" w:hAnsi="Arial" w:cs="Arial"/>
          <w:sz w:val="22"/>
          <w:szCs w:val="22"/>
        </w:rPr>
        <w:t>record the depreciation expense on the additional lease asset for CY 2021 amounting to P3.189 million</w:t>
      </w:r>
      <w:r>
        <w:rPr>
          <w:rFonts w:ascii="Arial" w:hAnsi="Arial" w:cs="Arial"/>
          <w:sz w:val="22"/>
          <w:szCs w:val="22"/>
          <w:lang w:eastAsia="en-PH"/>
        </w:rPr>
        <w:t xml:space="preserve">; and (c) </w:t>
      </w:r>
      <w:r>
        <w:rPr>
          <w:rFonts w:ascii="Arial" w:hAnsi="Arial" w:cs="Arial"/>
          <w:sz w:val="22"/>
          <w:szCs w:val="22"/>
        </w:rPr>
        <w:t>present and classify the current and non-current portion of the Finance Lease Payable as separate items in the Statement of Financial Position.</w:t>
      </w:r>
    </w:p>
    <w:p>
      <w:pPr>
        <w:pStyle w:val="ListParagraph"/>
        <w:jc w:val="both"/>
        <w:rPr>
          <w:rFonts w:ascii="Arial" w:hAnsi="Arial" w:cs="Arial"/>
          <w:bCs/>
        </w:rPr>
      </w:pPr>
    </w:p>
    <w:p>
      <w:pPr>
        <w:pStyle w:val="ListParagraph"/>
        <w:numPr>
          <w:ilvl w:val="0"/>
          <w:numId w:val="13"/>
        </w:numPr>
        <w:jc w:val="both"/>
        <w:rPr>
          <w:rFonts w:ascii="Arial" w:hAnsi="Arial" w:cs="Arial"/>
          <w:bCs/>
          <w:vanish/>
        </w:rPr>
      </w:pPr>
    </w:p>
    <w:p>
      <w:pPr>
        <w:pStyle w:val="ListParagraph"/>
        <w:numPr>
          <w:ilvl w:val="1"/>
          <w:numId w:val="13"/>
        </w:numPr>
        <w:ind w:left="720"/>
        <w:jc w:val="both"/>
        <w:rPr>
          <w:rFonts w:ascii="Arial" w:hAnsi="Arial" w:cs="Arial"/>
          <w:bCs/>
        </w:rPr>
      </w:pPr>
      <w:r>
        <w:rPr>
          <w:rFonts w:ascii="Arial" w:hAnsi="Arial" w:cs="Arial"/>
          <w:color w:val="000000" w:themeColor="text1"/>
          <w:sz w:val="22"/>
          <w:szCs w:val="22"/>
          <w:lang w:eastAsia="ar-SA"/>
        </w:rPr>
        <w:t>Direct the concerned ABD personnel</w:t>
      </w:r>
      <w:r>
        <w:rPr>
          <w:rFonts w:ascii="Arial" w:hAnsi="Arial" w:cs="Arial"/>
          <w:sz w:val="22"/>
          <w:szCs w:val="22"/>
        </w:rPr>
        <w:t xml:space="preserve"> </w:t>
      </w:r>
      <w:r>
        <w:rPr>
          <w:rFonts w:ascii="Arial" w:hAnsi="Arial" w:cs="Arial"/>
          <w:sz w:val="22"/>
          <w:szCs w:val="22"/>
          <w:lang w:eastAsia="en-PH"/>
        </w:rPr>
        <w:t xml:space="preserve">to cause the immediate collection of the excess prize fund held in trust, in compliance with </w:t>
      </w:r>
      <w:r>
        <w:rPr>
          <w:rFonts w:ascii="Arial" w:hAnsi="Arial" w:cs="Arial"/>
          <w:w w:val="105"/>
          <w:sz w:val="22"/>
          <w:szCs w:val="22"/>
        </w:rPr>
        <w:t xml:space="preserve">Section 18 of the </w:t>
      </w:r>
      <w:r>
        <w:rPr>
          <w:rFonts w:ascii="Arial" w:hAnsi="Arial" w:cs="Arial"/>
          <w:sz w:val="22"/>
          <w:szCs w:val="22"/>
        </w:rPr>
        <w:t>2020 RIRR for STL.</w:t>
      </w:r>
    </w:p>
    <w:p>
      <w:pPr>
        <w:pStyle w:val="ListParagraph"/>
        <w:numPr>
          <w:ilvl w:val="1"/>
          <w:numId w:val="13"/>
        </w:numPr>
        <w:ind w:left="720"/>
        <w:jc w:val="both"/>
        <w:rPr>
          <w:rFonts w:ascii="Arial" w:hAnsi="Arial" w:cs="Arial"/>
          <w:bCs/>
        </w:rPr>
      </w:pPr>
      <w:r>
        <w:rPr>
          <w:rFonts w:ascii="Arial" w:hAnsi="Arial" w:cs="Arial"/>
          <w:sz w:val="22"/>
          <w:szCs w:val="22"/>
        </w:rPr>
        <w:t xml:space="preserve">Instruct the concerned ABD personnel to prepare </w:t>
      </w:r>
      <w:r>
        <w:rPr>
          <w:rFonts w:ascii="Arial" w:hAnsi="Arial" w:cs="Arial"/>
          <w:sz w:val="22"/>
          <w:szCs w:val="22"/>
          <w:lang w:eastAsia="en-PH"/>
        </w:rPr>
        <w:t>adjusting entry at year-end for all unutilized prize fund held in trust by the AACs to reflect the correct expense for prize pay-outs in CY 2021 and the receivable from AACs as of December 31, 2021.</w:t>
      </w:r>
    </w:p>
    <w:p>
      <w:pPr>
        <w:pStyle w:val="ListParagraph"/>
        <w:tabs>
          <w:tab w:val="left" w:pos="1350"/>
        </w:tabs>
        <w:ind w:left="1260"/>
        <w:contextualSpacing/>
        <w:jc w:val="both"/>
        <w:rPr>
          <w:rFonts w:ascii="Arial" w:hAnsi="Arial" w:cs="Arial"/>
          <w:sz w:val="22"/>
          <w:szCs w:val="22"/>
          <w:lang w:eastAsia="en-PH"/>
        </w:rPr>
      </w:pPr>
    </w:p>
    <w:p>
      <w:pPr>
        <w:pStyle w:val="NoSpacing"/>
        <w:jc w:val="both"/>
        <w:rPr>
          <w:rFonts w:ascii="Arial" w:eastAsia="Times New Roman" w:hAnsi="Arial" w:cs="Arial"/>
        </w:rPr>
      </w:pPr>
      <w:r>
        <w:rPr>
          <w:rFonts w:ascii="Arial" w:eastAsia="Times New Roman" w:hAnsi="Arial" w:cs="Arial"/>
        </w:rPr>
        <w:t>The other significant audit observations and recommendations that need immediate action are as follows:</w:t>
      </w:r>
    </w:p>
    <w:p>
      <w:pPr>
        <w:pStyle w:val="ListParagraph"/>
        <w:ind w:left="0"/>
        <w:contextualSpacing/>
        <w:jc w:val="both"/>
        <w:rPr>
          <w:rFonts w:ascii="Arial" w:hAnsi="Arial" w:cs="Arial"/>
          <w:sz w:val="22"/>
          <w:szCs w:val="22"/>
        </w:rPr>
      </w:pPr>
      <w:r>
        <w:rPr>
          <w:rFonts w:ascii="Arial" w:hAnsi="Arial" w:cs="Arial"/>
          <w:sz w:val="22"/>
          <w:szCs w:val="22"/>
        </w:rPr>
        <w:t xml:space="preserve">                                                  </w:t>
      </w:r>
    </w:p>
    <w:p>
      <w:pPr>
        <w:pStyle w:val="ListParagraph"/>
        <w:numPr>
          <w:ilvl w:val="0"/>
          <w:numId w:val="11"/>
        </w:numPr>
        <w:ind w:left="720" w:hanging="720"/>
        <w:jc w:val="both"/>
        <w:rPr>
          <w:rFonts w:ascii="Arial" w:hAnsi="Arial" w:cs="Arial"/>
          <w:color w:val="000000" w:themeColor="text1"/>
          <w:sz w:val="22"/>
          <w:szCs w:val="22"/>
        </w:rPr>
      </w:pPr>
      <w:r>
        <w:rPr>
          <w:rFonts w:ascii="Arial" w:hAnsi="Arial" w:cs="Arial"/>
          <w:sz w:val="22"/>
          <w:szCs w:val="22"/>
        </w:rPr>
        <w:t>Thirteen out of the 35 financial assistance granted under the Financial Assistance for the Procurement of Medical Equipment Program for Calendar Years 2017-2021 amounting to P144.674 million remained unliquidated as of December 31, 2021, contrary to the provisions stipulated in the Memorandum of Agreement, thereby casting doubt on whether the financial assistance given are utilized for the intended purpose. Likewise, 13 liquidation reports received in CYs 2020-2021 amounting to P189.323 million were submitted beyond the prescribed period.</w:t>
      </w:r>
    </w:p>
    <w:p>
      <w:pPr>
        <w:pStyle w:val="ListParagraph"/>
        <w:jc w:val="both"/>
        <w:rPr>
          <w:rFonts w:ascii="Arial" w:hAnsi="Arial" w:cs="Arial"/>
          <w:color w:val="000000" w:themeColor="text1"/>
          <w:sz w:val="22"/>
          <w:szCs w:val="22"/>
        </w:rPr>
      </w:pPr>
    </w:p>
    <w:p>
      <w:pPr>
        <w:pStyle w:val="ListParagraph"/>
        <w:numPr>
          <w:ilvl w:val="1"/>
          <w:numId w:val="11"/>
        </w:numPr>
        <w:ind w:left="709" w:hanging="709"/>
        <w:jc w:val="both"/>
        <w:rPr>
          <w:rFonts w:ascii="Arial" w:hAnsi="Arial" w:cs="Arial"/>
          <w:sz w:val="22"/>
          <w:szCs w:val="22"/>
          <w:lang w:eastAsia="ar-SA"/>
        </w:rPr>
      </w:pPr>
      <w:r>
        <w:rPr>
          <w:rFonts w:ascii="Arial" w:hAnsi="Arial" w:cs="Arial"/>
          <w:sz w:val="22"/>
          <w:szCs w:val="22"/>
        </w:rPr>
        <w:t>We recommended and Management agreed to:</w:t>
      </w:r>
    </w:p>
    <w:p>
      <w:pPr>
        <w:pStyle w:val="ListParagraph"/>
        <w:ind w:left="709"/>
        <w:jc w:val="both"/>
        <w:rPr>
          <w:rFonts w:ascii="Arial" w:hAnsi="Arial" w:cs="Arial"/>
          <w:sz w:val="22"/>
          <w:szCs w:val="22"/>
          <w:lang w:eastAsia="ar-SA"/>
        </w:rPr>
      </w:pPr>
    </w:p>
    <w:p>
      <w:pPr>
        <w:pStyle w:val="ListParagraph"/>
        <w:numPr>
          <w:ilvl w:val="0"/>
          <w:numId w:val="29"/>
        </w:numPr>
        <w:tabs>
          <w:tab w:val="left" w:pos="0"/>
        </w:tabs>
        <w:ind w:left="1276" w:right="4" w:hanging="540"/>
        <w:jc w:val="both"/>
        <w:rPr>
          <w:rFonts w:ascii="Arial" w:hAnsi="Arial" w:cs="Arial"/>
          <w:sz w:val="22"/>
          <w:szCs w:val="22"/>
        </w:rPr>
      </w:pPr>
      <w:r>
        <w:rPr>
          <w:rFonts w:ascii="Arial" w:hAnsi="Arial" w:cs="Arial"/>
          <w:sz w:val="22"/>
          <w:szCs w:val="22"/>
        </w:rPr>
        <w:t>Demand from the 13 beneficiaries the immediate submission of their liquidation reports or return the financial assistance if it still unutilized;</w:t>
      </w:r>
    </w:p>
    <w:p>
      <w:pPr>
        <w:pStyle w:val="ListParagraph"/>
        <w:tabs>
          <w:tab w:val="left" w:pos="0"/>
        </w:tabs>
        <w:ind w:left="1276" w:right="4"/>
        <w:jc w:val="both"/>
        <w:rPr>
          <w:rFonts w:ascii="Arial" w:hAnsi="Arial" w:cs="Arial"/>
          <w:sz w:val="22"/>
          <w:szCs w:val="22"/>
        </w:rPr>
      </w:pPr>
    </w:p>
    <w:p>
      <w:pPr>
        <w:pStyle w:val="ListParagraph"/>
        <w:numPr>
          <w:ilvl w:val="0"/>
          <w:numId w:val="29"/>
        </w:numPr>
        <w:tabs>
          <w:tab w:val="left" w:pos="0"/>
        </w:tabs>
        <w:ind w:left="1276" w:right="4" w:hanging="540"/>
        <w:jc w:val="both"/>
        <w:rPr>
          <w:rFonts w:ascii="Arial" w:hAnsi="Arial" w:cs="Arial"/>
          <w:sz w:val="22"/>
          <w:szCs w:val="22"/>
        </w:rPr>
      </w:pPr>
      <w:r>
        <w:rPr>
          <w:rFonts w:ascii="Arial" w:hAnsi="Arial" w:cs="Arial"/>
          <w:sz w:val="22"/>
          <w:szCs w:val="22"/>
        </w:rPr>
        <w:t>Require the beneficiaries to submit a written explanation on the delayed submission of liquidation reports to further assess whether the beneficiaries should be disqualified from receiving future and other financial assistance from PCSO, otherwise, require the refund of the financial assistance granted, and determine whether there is a need to revisit the policies and procedures relative to the liquidation of the grants; and</w:t>
      </w:r>
    </w:p>
    <w:p>
      <w:pPr>
        <w:pStyle w:val="ListParagraph"/>
        <w:tabs>
          <w:tab w:val="left" w:pos="0"/>
        </w:tabs>
        <w:ind w:left="1276" w:right="4"/>
        <w:jc w:val="both"/>
        <w:rPr>
          <w:rFonts w:ascii="Arial" w:hAnsi="Arial" w:cs="Arial"/>
          <w:sz w:val="22"/>
          <w:szCs w:val="22"/>
        </w:rPr>
      </w:pPr>
    </w:p>
    <w:p>
      <w:pPr>
        <w:pStyle w:val="ListParagraph"/>
        <w:numPr>
          <w:ilvl w:val="0"/>
          <w:numId w:val="29"/>
        </w:numPr>
        <w:tabs>
          <w:tab w:val="left" w:pos="0"/>
        </w:tabs>
        <w:ind w:left="1276" w:right="4" w:hanging="540"/>
        <w:jc w:val="both"/>
        <w:rPr>
          <w:rFonts w:ascii="Arial" w:hAnsi="Arial" w:cs="Arial"/>
          <w:sz w:val="22"/>
          <w:szCs w:val="22"/>
        </w:rPr>
      </w:pPr>
      <w:r>
        <w:rPr>
          <w:rFonts w:ascii="Arial" w:hAnsi="Arial" w:cs="Arial"/>
          <w:sz w:val="22"/>
          <w:szCs w:val="22"/>
        </w:rPr>
        <w:t>Intensify the monitoring and reporting controls by conducting an on-site visit by the concerned personnel both in Head Office and Branches to ensure that the financial assistance granted to the beneficiaries were utilized for the purchase of the medical equipment and to validate whether these were indeed used for patients in need.</w:t>
      </w:r>
    </w:p>
    <w:p>
      <w:pPr>
        <w:spacing w:after="0" w:line="240" w:lineRule="auto"/>
        <w:jc w:val="both"/>
        <w:rPr>
          <w:rFonts w:ascii="Arial" w:hAnsi="Arial" w:cs="Arial"/>
          <w:b/>
        </w:rPr>
      </w:pPr>
    </w:p>
    <w:p>
      <w:pPr>
        <w:pStyle w:val="ListParagraph"/>
        <w:numPr>
          <w:ilvl w:val="0"/>
          <w:numId w:val="11"/>
        </w:numPr>
        <w:ind w:left="720" w:hanging="720"/>
        <w:jc w:val="both"/>
        <w:rPr>
          <w:rFonts w:ascii="Arial" w:hAnsi="Arial" w:cs="Arial"/>
          <w:color w:val="000000" w:themeColor="text1"/>
          <w:sz w:val="22"/>
          <w:szCs w:val="22"/>
        </w:rPr>
      </w:pPr>
      <w:r>
        <w:rPr>
          <w:rFonts w:ascii="Arial" w:hAnsi="Arial" w:cs="Arial"/>
          <w:sz w:val="22"/>
          <w:szCs w:val="22"/>
        </w:rPr>
        <w:t>Financial assistance for the procurement of medical equipment amounting to P144.011 million were granted to 10 beneficiaries for the Calendar Years 2020 to 2021 despite incomplete documentation, contrary to Item B, Section III of the Financial Assistance for the Procurement of Medical Equipment Program Implementing Guidelines, thus, casting doubt on the impartiality, objectivity and consistency of the evaluation/assessment/recommendation process in the approval of the grant.</w:t>
      </w:r>
    </w:p>
    <w:p>
      <w:pPr>
        <w:spacing w:after="0" w:line="240" w:lineRule="auto"/>
        <w:jc w:val="both"/>
        <w:rPr>
          <w:rFonts w:ascii="Arial" w:hAnsi="Arial" w:cs="Arial"/>
          <w:iCs/>
        </w:rPr>
      </w:pPr>
    </w:p>
    <w:p>
      <w:pPr>
        <w:pStyle w:val="ListParagraph"/>
        <w:numPr>
          <w:ilvl w:val="1"/>
          <w:numId w:val="11"/>
        </w:numPr>
        <w:ind w:left="709" w:hanging="709"/>
        <w:jc w:val="both"/>
        <w:rPr>
          <w:rFonts w:ascii="Arial" w:hAnsi="Arial" w:cs="Arial"/>
          <w:iCs/>
          <w:color w:val="000000" w:themeColor="text1"/>
          <w:sz w:val="22"/>
          <w:szCs w:val="22"/>
        </w:rPr>
      </w:pPr>
      <w:r>
        <w:rPr>
          <w:rFonts w:ascii="Arial" w:hAnsi="Arial" w:cs="Arial"/>
          <w:iCs/>
          <w:color w:val="000000" w:themeColor="text1"/>
          <w:sz w:val="22"/>
          <w:szCs w:val="22"/>
        </w:rPr>
        <w:t>We recommended that Management:</w:t>
      </w:r>
    </w:p>
    <w:p>
      <w:pPr>
        <w:pStyle w:val="ListParagraph"/>
        <w:ind w:left="1440"/>
        <w:jc w:val="both"/>
        <w:rPr>
          <w:rFonts w:ascii="Arial" w:hAnsi="Arial" w:cs="Arial"/>
          <w:iCs/>
          <w:color w:val="000000" w:themeColor="text1"/>
          <w:sz w:val="22"/>
          <w:szCs w:val="22"/>
        </w:rPr>
      </w:pPr>
    </w:p>
    <w:p>
      <w:pPr>
        <w:numPr>
          <w:ilvl w:val="1"/>
          <w:numId w:val="30"/>
        </w:numPr>
        <w:spacing w:after="0" w:line="240" w:lineRule="auto"/>
        <w:ind w:left="1276" w:hanging="545"/>
        <w:jc w:val="both"/>
        <w:rPr>
          <w:rFonts w:ascii="Arial" w:hAnsi="Arial" w:cs="Arial"/>
        </w:rPr>
      </w:pPr>
      <w:r>
        <w:rPr>
          <w:rFonts w:ascii="Arial" w:hAnsi="Arial" w:cs="Arial"/>
        </w:rPr>
        <w:t>Submit a written explanation for processing of the grant of financial assistance for the procurement of medical equipment despite the non-compliance by the applicants/ intended beneficiaries with the documentary requirements provided under Item B, Section III of the Implementing Guidelines;</w:t>
      </w:r>
    </w:p>
    <w:p>
      <w:pPr>
        <w:spacing w:after="0" w:line="240" w:lineRule="auto"/>
        <w:ind w:left="1276"/>
        <w:jc w:val="both"/>
        <w:rPr>
          <w:rFonts w:ascii="Arial" w:hAnsi="Arial" w:cs="Arial"/>
        </w:rPr>
      </w:pPr>
    </w:p>
    <w:p>
      <w:pPr>
        <w:numPr>
          <w:ilvl w:val="1"/>
          <w:numId w:val="30"/>
        </w:numPr>
        <w:spacing w:after="0" w:line="240" w:lineRule="auto"/>
        <w:ind w:left="1276" w:hanging="545"/>
        <w:jc w:val="both"/>
        <w:rPr>
          <w:rFonts w:ascii="Arial" w:hAnsi="Arial" w:cs="Arial"/>
        </w:rPr>
      </w:pPr>
      <w:r>
        <w:rPr>
          <w:rFonts w:ascii="Arial" w:hAnsi="Arial" w:cs="Arial"/>
        </w:rPr>
        <w:t>Submit the lacking documentary requirements mentioned in Table 21 of the report; and</w:t>
      </w:r>
    </w:p>
    <w:p>
      <w:pPr>
        <w:pStyle w:val="ListParagraph"/>
        <w:ind w:left="1276" w:hanging="567"/>
        <w:rPr>
          <w:rFonts w:ascii="Arial" w:hAnsi="Arial" w:cs="Arial"/>
          <w:sz w:val="22"/>
          <w:szCs w:val="22"/>
        </w:rPr>
      </w:pPr>
    </w:p>
    <w:p>
      <w:pPr>
        <w:numPr>
          <w:ilvl w:val="1"/>
          <w:numId w:val="30"/>
        </w:numPr>
        <w:spacing w:after="0" w:line="240" w:lineRule="auto"/>
        <w:ind w:left="1276" w:hanging="545"/>
        <w:jc w:val="both"/>
        <w:rPr>
          <w:rFonts w:ascii="Arial" w:hAnsi="Arial" w:cs="Arial"/>
        </w:rPr>
      </w:pPr>
      <w:r>
        <w:rPr>
          <w:rFonts w:ascii="Arial" w:hAnsi="Arial" w:cs="Arial"/>
        </w:rPr>
        <w:t xml:space="preserve">Create a control mechanism such as preparation of a checklist of documentary requirements with confirmation of complete submission in the Assessment Report to ensure the consistency, and impartiality in the evaluation/ assessment/ recommendation process in the approval of the grant. </w:t>
      </w:r>
    </w:p>
    <w:p>
      <w:pPr>
        <w:spacing w:after="0" w:line="240" w:lineRule="auto"/>
        <w:ind w:left="1276"/>
        <w:jc w:val="both"/>
        <w:rPr>
          <w:rFonts w:ascii="Arial" w:hAnsi="Arial" w:cs="Arial"/>
        </w:rPr>
      </w:pPr>
    </w:p>
    <w:p>
      <w:pPr>
        <w:pStyle w:val="ListParagraph"/>
        <w:numPr>
          <w:ilvl w:val="0"/>
          <w:numId w:val="11"/>
        </w:numPr>
        <w:ind w:left="720" w:hanging="720"/>
        <w:jc w:val="both"/>
        <w:rPr>
          <w:rFonts w:ascii="Arial" w:hAnsi="Arial" w:cs="Arial"/>
          <w:iCs/>
        </w:rPr>
      </w:pPr>
      <w:r>
        <w:rPr>
          <w:rFonts w:ascii="Arial" w:hAnsi="Arial" w:cs="Arial"/>
          <w:sz w:val="22"/>
          <w:szCs w:val="22"/>
        </w:rPr>
        <w:t>Timelines in the evaluation, assessment, and recommendation of the request for financial assistance for the procurement of medical equipment up to the processing of the disbursement vouchers were not clearly defined in the Implementing Guidelines of the program which resulted to: a) longer lead time from processing and granting of the request, making the fund idle for a long period; and b) accumulation of the long outstanding payables under the program as of December 31, 2021 amounting to P195.947 million.</w:t>
      </w:r>
    </w:p>
    <w:p>
      <w:pPr>
        <w:pStyle w:val="ListParagraph"/>
        <w:jc w:val="both"/>
        <w:rPr>
          <w:rFonts w:ascii="Arial" w:hAnsi="Arial" w:cs="Arial"/>
          <w:iCs/>
        </w:rPr>
      </w:pPr>
    </w:p>
    <w:p>
      <w:pPr>
        <w:pStyle w:val="ListParagraph"/>
        <w:numPr>
          <w:ilvl w:val="1"/>
          <w:numId w:val="11"/>
        </w:numPr>
        <w:ind w:left="720" w:hanging="720"/>
        <w:jc w:val="both"/>
        <w:rPr>
          <w:rFonts w:ascii="Arial" w:hAnsi="Arial" w:cs="Arial"/>
          <w:iCs/>
        </w:rPr>
      </w:pPr>
      <w:r>
        <w:rPr>
          <w:rFonts w:ascii="Arial" w:hAnsi="Arial" w:cs="Arial"/>
          <w:sz w:val="22"/>
          <w:szCs w:val="22"/>
        </w:rPr>
        <w:t xml:space="preserve">We </w:t>
      </w:r>
      <w:r>
        <w:rPr>
          <w:rFonts w:ascii="Arial" w:hAnsi="Arial" w:cs="Arial"/>
          <w:sz w:val="22"/>
          <w:szCs w:val="22"/>
          <w:lang w:eastAsia="ar-SA"/>
        </w:rPr>
        <w:t>recommended</w:t>
      </w:r>
      <w:r>
        <w:rPr>
          <w:rFonts w:ascii="Arial" w:hAnsi="Arial" w:cs="Arial"/>
          <w:sz w:val="22"/>
          <w:szCs w:val="22"/>
        </w:rPr>
        <w:t xml:space="preserve"> and Management agreed to: (a) revisit the process of evaluation/assessment/recommendation and processing of disbursement vouchers stated in the Implementing Guidelines of the Financial Assistance for the Procurement of Medical Equipment Program (FAPMEP) and consider the inclusion of timelines on each process for strict monitoring and efficient implementation of the program; and (b) re-evaluate the approved applications under FAPMEP that were accrued amounting to P195.948 million to determine whether the beneficiaries are still interested and eligible to receive the grant.  Further, identify the validity of the recorded obligations and effect the adjustments in the books of accounts, if necessary.</w:t>
      </w:r>
    </w:p>
    <w:p>
      <w:pPr>
        <w:spacing w:after="0" w:line="240" w:lineRule="auto"/>
        <w:jc w:val="both"/>
        <w:rPr>
          <w:rFonts w:ascii="Arial" w:hAnsi="Arial" w:cs="Arial"/>
          <w:bCs/>
        </w:rPr>
      </w:pPr>
    </w:p>
    <w:p>
      <w:pPr>
        <w:spacing w:after="0" w:line="240" w:lineRule="auto"/>
        <w:ind w:left="1260"/>
        <w:jc w:val="both"/>
        <w:rPr>
          <w:rFonts w:ascii="Arial" w:hAnsi="Arial" w:cs="Arial"/>
          <w:bCs/>
        </w:rPr>
      </w:pPr>
    </w:p>
    <w:p>
      <w:pPr>
        <w:pStyle w:val="ListParagraph"/>
        <w:ind w:left="0"/>
        <w:contextualSpacing/>
        <w:jc w:val="both"/>
        <w:rPr>
          <w:rFonts w:ascii="Arial" w:hAnsi="Arial" w:cs="Arial"/>
          <w:b/>
          <w:sz w:val="22"/>
          <w:szCs w:val="22"/>
        </w:rPr>
      </w:pPr>
      <w:r>
        <w:rPr>
          <w:rFonts w:ascii="Arial" w:hAnsi="Arial" w:cs="Arial"/>
          <w:b/>
          <w:sz w:val="22"/>
          <w:szCs w:val="22"/>
        </w:rPr>
        <w:t xml:space="preserve">SUMMARY OF TOTAL SUSPENSIONS, DISALLOWANCES AND CHARGES </w:t>
      </w:r>
    </w:p>
    <w:p>
      <w:pPr>
        <w:pStyle w:val="ListParagraph"/>
        <w:ind w:left="0"/>
        <w:contextualSpacing/>
        <w:jc w:val="both"/>
        <w:rPr>
          <w:rFonts w:ascii="Arial" w:hAnsi="Arial" w:cs="Arial"/>
          <w:b/>
          <w:sz w:val="22"/>
          <w:szCs w:val="22"/>
        </w:rPr>
      </w:pPr>
    </w:p>
    <w:p>
      <w:pPr>
        <w:spacing w:after="0" w:line="240" w:lineRule="auto"/>
        <w:jc w:val="both"/>
        <w:rPr>
          <w:rFonts w:ascii="Arial" w:eastAsia="Arial" w:hAnsi="Arial" w:cs="Arial"/>
        </w:rPr>
      </w:pPr>
      <w:r>
        <w:rPr>
          <w:rFonts w:ascii="Arial" w:hAnsi="Arial" w:cs="Arial"/>
          <w:color w:val="000000" w:themeColor="text1"/>
        </w:rPr>
        <w:t>The unsettled audit suspensions and disallowances as of December 31, 2021 amounted to P87.197 million and P2.691 billion, respectively, and the details and status thereof are shown in Part IV-Annex A of this Report</w:t>
      </w:r>
      <w:r>
        <w:rPr>
          <w:rFonts w:ascii="Arial" w:hAnsi="Arial" w:cs="Arial"/>
        </w:rPr>
        <w:t xml:space="preserve">. </w:t>
      </w:r>
      <w:r>
        <w:rPr>
          <w:rFonts w:ascii="Arial" w:hAnsi="Arial" w:cs="Arial"/>
          <w:color w:val="000000" w:themeColor="text1"/>
        </w:rPr>
        <w:t>There was no Notice of Charge issued during the year</w:t>
      </w:r>
      <w:r>
        <w:rPr>
          <w:rFonts w:ascii="Arial" w:eastAsia="Arial" w:hAnsi="Arial" w:cs="Arial"/>
        </w:rPr>
        <w:t>.</w:t>
      </w:r>
    </w:p>
    <w:p>
      <w:pPr>
        <w:spacing w:after="0" w:line="240" w:lineRule="auto"/>
        <w:jc w:val="both"/>
        <w:rPr>
          <w:rFonts w:ascii="Arial" w:hAnsi="Arial" w:cs="Arial"/>
          <w:b/>
        </w:rPr>
      </w:pPr>
    </w:p>
    <w:p>
      <w:pPr>
        <w:spacing w:after="0" w:line="240" w:lineRule="auto"/>
        <w:jc w:val="both"/>
        <w:rPr>
          <w:rFonts w:ascii="Arial" w:hAnsi="Arial" w:cs="Arial"/>
          <w:b/>
        </w:rPr>
      </w:pPr>
    </w:p>
    <w:p>
      <w:pPr>
        <w:spacing w:after="0" w:line="240" w:lineRule="auto"/>
        <w:jc w:val="both"/>
        <w:rPr>
          <w:rFonts w:ascii="Arial" w:hAnsi="Arial" w:cs="Arial"/>
          <w:b/>
        </w:rPr>
      </w:pPr>
      <w:r>
        <w:rPr>
          <w:rFonts w:ascii="Arial" w:hAnsi="Arial" w:cs="Arial"/>
          <w:b/>
        </w:rPr>
        <w:t>STATUS OF IMPLEMENTATION OF PRIOR YEAR’S AUDIT RECOMMENDATIONS</w:t>
      </w:r>
    </w:p>
    <w:p>
      <w:pPr>
        <w:spacing w:after="0" w:line="240" w:lineRule="auto"/>
        <w:jc w:val="both"/>
        <w:rPr>
          <w:rFonts w:ascii="Arial" w:hAnsi="Arial" w:cs="Arial"/>
          <w:b/>
        </w:rPr>
      </w:pPr>
    </w:p>
    <w:p>
      <w:pPr>
        <w:spacing w:after="0" w:line="240" w:lineRule="auto"/>
        <w:jc w:val="both"/>
        <w:rPr>
          <w:rFonts w:ascii="Arial" w:hAnsi="Arial" w:cs="Arial"/>
        </w:rPr>
      </w:pPr>
      <w:r>
        <w:rPr>
          <w:rFonts w:ascii="Arial" w:hAnsi="Arial" w:cs="Arial"/>
        </w:rPr>
        <w:t>Out of the 24 audit recommendations embodied in the previous year’s Annual Audit Report, two were implemented, 18 were partially implemented and four were not implemented. Details are presented in Part III of this Report.</w:t>
      </w:r>
    </w:p>
    <w:p/>
    <w:sectPr>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720"/>
      <w:pgNumType w:fmt="lowerRoman"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7799130"/>
      <w:docPartObj>
        <w:docPartGallery w:val="Page Numbers (Bottom of Page)"/>
        <w:docPartUnique/>
      </w:docPartObj>
    </w:sdtPr>
    <w:sdtEndPr>
      <w:rPr>
        <w:rFonts w:ascii="Arial" w:hAnsi="Arial" w:cs="Arial"/>
        <w:noProof/>
        <w:sz w:val="20"/>
        <w:szCs w:val="20"/>
      </w:rPr>
    </w:sdtEndPr>
    <w:sdtContent>
      <w:p>
        <w:pPr>
          <w:pStyle w:val="Footer"/>
          <w:jc w:val="right"/>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PAGE   \* MERGEFORMAT </w:instrText>
        </w:r>
        <w:r>
          <w:rPr>
            <w:rFonts w:ascii="Arial" w:hAnsi="Arial" w:cs="Arial"/>
            <w:sz w:val="20"/>
            <w:szCs w:val="20"/>
          </w:rPr>
          <w:fldChar w:fldCharType="separate"/>
        </w:r>
        <w:r>
          <w:rPr>
            <w:rFonts w:ascii="Arial" w:hAnsi="Arial" w:cs="Arial"/>
            <w:noProof/>
            <w:sz w:val="20"/>
            <w:szCs w:val="20"/>
          </w:rPr>
          <w:t>vii</w:t>
        </w:r>
        <w:r>
          <w:rPr>
            <w:rFonts w:ascii="Arial" w:hAnsi="Arial" w:cs="Arial"/>
            <w:noProof/>
            <w:sz w:val="20"/>
            <w:szCs w:val="20"/>
          </w:rPr>
          <w:fldChar w:fldCharType="end"/>
        </w:r>
      </w:p>
    </w:sdtContent>
  </w:sdt>
  <w:p>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C7F94"/>
    <w:multiLevelType w:val="multilevel"/>
    <w:tmpl w:val="62385226"/>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5308C9"/>
    <w:multiLevelType w:val="hybridMultilevel"/>
    <w:tmpl w:val="E0B2CD22"/>
    <w:lvl w:ilvl="0" w:tplc="307A29B6">
      <w:start w:val="1"/>
      <w:numFmt w:val="lowerLetter"/>
      <w:lvlText w:val="%1."/>
      <w:lvlJc w:val="left"/>
      <w:pPr>
        <w:ind w:left="2160" w:hanging="360"/>
      </w:pPr>
      <w:rPr>
        <w:rFonts w:hint="default"/>
        <w:b w:val="0"/>
        <w:i w:val="0"/>
      </w:rPr>
    </w:lvl>
    <w:lvl w:ilvl="1" w:tplc="34090019" w:tentative="1">
      <w:start w:val="1"/>
      <w:numFmt w:val="lowerLetter"/>
      <w:lvlText w:val="%2."/>
      <w:lvlJc w:val="left"/>
      <w:pPr>
        <w:ind w:left="2880" w:hanging="360"/>
      </w:p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abstractNum w:abstractNumId="2" w15:restartNumberingAfterBreak="0">
    <w:nsid w:val="01607FAA"/>
    <w:multiLevelType w:val="multilevel"/>
    <w:tmpl w:val="DAA44D5C"/>
    <w:lvl w:ilvl="0">
      <w:start w:val="7"/>
      <w:numFmt w:val="decimal"/>
      <w:lvlText w:val="%1."/>
      <w:lvlJc w:val="left"/>
      <w:pPr>
        <w:ind w:left="1069" w:hanging="360"/>
      </w:pPr>
      <w:rPr>
        <w:rFonts w:hint="default"/>
        <w:b w:val="0"/>
        <w:sz w:val="22"/>
        <w:szCs w:val="22"/>
      </w:rPr>
    </w:lvl>
    <w:lvl w:ilvl="1">
      <w:start w:val="1"/>
      <w:numFmt w:val="decimal"/>
      <w:lvlText w:val="%1.%2"/>
      <w:lvlJc w:val="left"/>
      <w:pPr>
        <w:ind w:left="4613" w:hanging="360"/>
      </w:pPr>
      <w:rPr>
        <w:rFonts w:hint="default"/>
        <w:b w:val="0"/>
        <w:sz w:val="22"/>
        <w:szCs w:val="22"/>
      </w:rPr>
    </w:lvl>
    <w:lvl w:ilvl="2">
      <w:start w:val="1"/>
      <w:numFmt w:val="decimal"/>
      <w:lvlText w:val="%1.%2.%3"/>
      <w:lvlJc w:val="left"/>
      <w:pPr>
        <w:ind w:left="3049" w:hanging="720"/>
      </w:pPr>
      <w:rPr>
        <w:rFonts w:hint="default"/>
      </w:rPr>
    </w:lvl>
    <w:lvl w:ilvl="3">
      <w:start w:val="1"/>
      <w:numFmt w:val="decimal"/>
      <w:lvlText w:val="%1.%2.%3.%4"/>
      <w:lvlJc w:val="left"/>
      <w:pPr>
        <w:ind w:left="3859" w:hanging="720"/>
      </w:pPr>
      <w:rPr>
        <w:rFonts w:hint="default"/>
      </w:rPr>
    </w:lvl>
    <w:lvl w:ilvl="4">
      <w:start w:val="1"/>
      <w:numFmt w:val="decimal"/>
      <w:lvlText w:val="%1.%2.%3.%4.%5"/>
      <w:lvlJc w:val="left"/>
      <w:pPr>
        <w:ind w:left="5029" w:hanging="1080"/>
      </w:pPr>
      <w:rPr>
        <w:rFonts w:hint="default"/>
      </w:rPr>
    </w:lvl>
    <w:lvl w:ilvl="5">
      <w:start w:val="1"/>
      <w:numFmt w:val="decimal"/>
      <w:lvlText w:val="%1.%2.%3.%4.%5.%6"/>
      <w:lvlJc w:val="left"/>
      <w:pPr>
        <w:ind w:left="5839" w:hanging="1080"/>
      </w:pPr>
      <w:rPr>
        <w:rFonts w:hint="default"/>
      </w:rPr>
    </w:lvl>
    <w:lvl w:ilvl="6">
      <w:start w:val="1"/>
      <w:numFmt w:val="decimal"/>
      <w:lvlText w:val="%1.%2.%3.%4.%5.%6.%7"/>
      <w:lvlJc w:val="left"/>
      <w:pPr>
        <w:ind w:left="7009" w:hanging="1440"/>
      </w:pPr>
      <w:rPr>
        <w:rFonts w:hint="default"/>
      </w:rPr>
    </w:lvl>
    <w:lvl w:ilvl="7">
      <w:start w:val="1"/>
      <w:numFmt w:val="decimal"/>
      <w:lvlText w:val="%1.%2.%3.%4.%5.%6.%7.%8"/>
      <w:lvlJc w:val="left"/>
      <w:pPr>
        <w:ind w:left="7819" w:hanging="1440"/>
      </w:pPr>
      <w:rPr>
        <w:rFonts w:hint="default"/>
      </w:rPr>
    </w:lvl>
    <w:lvl w:ilvl="8">
      <w:start w:val="1"/>
      <w:numFmt w:val="decimal"/>
      <w:lvlText w:val="%1.%2.%3.%4.%5.%6.%7.%8.%9"/>
      <w:lvlJc w:val="left"/>
      <w:pPr>
        <w:ind w:left="8989" w:hanging="1800"/>
      </w:pPr>
      <w:rPr>
        <w:rFonts w:hint="default"/>
      </w:rPr>
    </w:lvl>
  </w:abstractNum>
  <w:abstractNum w:abstractNumId="3" w15:restartNumberingAfterBreak="0">
    <w:nsid w:val="119F4352"/>
    <w:multiLevelType w:val="multilevel"/>
    <w:tmpl w:val="DF5417B2"/>
    <w:lvl w:ilvl="0">
      <w:start w:val="4"/>
      <w:numFmt w:val="decimal"/>
      <w:lvlText w:val="%1."/>
      <w:lvlJc w:val="left"/>
      <w:pPr>
        <w:ind w:left="360" w:hanging="360"/>
      </w:pPr>
      <w:rPr>
        <w:rFonts w:hint="default"/>
        <w:b w:val="0"/>
      </w:rPr>
    </w:lvl>
    <w:lvl w:ilvl="1">
      <w:start w:val="1"/>
      <w:numFmt w:val="decimal"/>
      <w:lvlText w:val="%1.%2."/>
      <w:lvlJc w:val="left"/>
      <w:pPr>
        <w:ind w:left="1146" w:hanging="72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208" w:hanging="1800"/>
      </w:pPr>
      <w:rPr>
        <w:rFonts w:hint="default"/>
        <w:b w:val="0"/>
      </w:rPr>
    </w:lvl>
  </w:abstractNum>
  <w:abstractNum w:abstractNumId="4" w15:restartNumberingAfterBreak="0">
    <w:nsid w:val="125F0255"/>
    <w:multiLevelType w:val="multilevel"/>
    <w:tmpl w:val="2826BDE4"/>
    <w:lvl w:ilvl="0">
      <w:start w:val="7"/>
      <w:numFmt w:val="decimal"/>
      <w:lvlText w:val="%1."/>
      <w:lvlJc w:val="left"/>
      <w:pPr>
        <w:ind w:left="360" w:hanging="360"/>
      </w:pPr>
      <w:rPr>
        <w:rFonts w:hint="default"/>
        <w:b w:val="0"/>
        <w:color w:val="auto"/>
      </w:rPr>
    </w:lvl>
    <w:lvl w:ilvl="1">
      <w:start w:val="1"/>
      <w:numFmt w:val="decimal"/>
      <w:lvlText w:val="%1.%2."/>
      <w:lvlJc w:val="left"/>
      <w:pPr>
        <w:ind w:left="1146" w:hanging="720"/>
      </w:pPr>
      <w:rPr>
        <w:rFonts w:hint="default"/>
        <w:b w:val="0"/>
        <w:color w:val="auto"/>
      </w:rPr>
    </w:lvl>
    <w:lvl w:ilvl="2">
      <w:start w:val="1"/>
      <w:numFmt w:val="decimal"/>
      <w:lvlText w:val="%1.%2.%3."/>
      <w:lvlJc w:val="left"/>
      <w:pPr>
        <w:ind w:left="1572" w:hanging="720"/>
      </w:pPr>
      <w:rPr>
        <w:rFonts w:hint="default"/>
        <w:b w:val="0"/>
        <w:color w:val="auto"/>
      </w:rPr>
    </w:lvl>
    <w:lvl w:ilvl="3">
      <w:start w:val="1"/>
      <w:numFmt w:val="decimal"/>
      <w:lvlText w:val="%1.%2.%3.%4."/>
      <w:lvlJc w:val="left"/>
      <w:pPr>
        <w:ind w:left="2358" w:hanging="1080"/>
      </w:pPr>
      <w:rPr>
        <w:rFonts w:hint="default"/>
        <w:b w:val="0"/>
        <w:color w:val="auto"/>
      </w:rPr>
    </w:lvl>
    <w:lvl w:ilvl="4">
      <w:start w:val="1"/>
      <w:numFmt w:val="decimal"/>
      <w:lvlText w:val="%1.%2.%3.%4.%5."/>
      <w:lvlJc w:val="left"/>
      <w:pPr>
        <w:ind w:left="2784" w:hanging="1080"/>
      </w:pPr>
      <w:rPr>
        <w:rFonts w:hint="default"/>
        <w:b w:val="0"/>
        <w:color w:val="auto"/>
      </w:rPr>
    </w:lvl>
    <w:lvl w:ilvl="5">
      <w:start w:val="1"/>
      <w:numFmt w:val="decimal"/>
      <w:lvlText w:val="%1.%2.%3.%4.%5.%6."/>
      <w:lvlJc w:val="left"/>
      <w:pPr>
        <w:ind w:left="3570" w:hanging="1440"/>
      </w:pPr>
      <w:rPr>
        <w:rFonts w:hint="default"/>
        <w:b w:val="0"/>
        <w:color w:val="auto"/>
      </w:rPr>
    </w:lvl>
    <w:lvl w:ilvl="6">
      <w:start w:val="1"/>
      <w:numFmt w:val="decimal"/>
      <w:lvlText w:val="%1.%2.%3.%4.%5.%6.%7."/>
      <w:lvlJc w:val="left"/>
      <w:pPr>
        <w:ind w:left="3996" w:hanging="1440"/>
      </w:pPr>
      <w:rPr>
        <w:rFonts w:hint="default"/>
        <w:b w:val="0"/>
        <w:color w:val="auto"/>
      </w:rPr>
    </w:lvl>
    <w:lvl w:ilvl="7">
      <w:start w:val="1"/>
      <w:numFmt w:val="decimal"/>
      <w:lvlText w:val="%1.%2.%3.%4.%5.%6.%7.%8."/>
      <w:lvlJc w:val="left"/>
      <w:pPr>
        <w:ind w:left="4782" w:hanging="1800"/>
      </w:pPr>
      <w:rPr>
        <w:rFonts w:hint="default"/>
        <w:b w:val="0"/>
        <w:color w:val="auto"/>
      </w:rPr>
    </w:lvl>
    <w:lvl w:ilvl="8">
      <w:start w:val="1"/>
      <w:numFmt w:val="decimal"/>
      <w:lvlText w:val="%1.%2.%3.%4.%5.%6.%7.%8.%9."/>
      <w:lvlJc w:val="left"/>
      <w:pPr>
        <w:ind w:left="5208" w:hanging="1800"/>
      </w:pPr>
      <w:rPr>
        <w:rFonts w:hint="default"/>
        <w:b w:val="0"/>
        <w:color w:val="auto"/>
      </w:rPr>
    </w:lvl>
  </w:abstractNum>
  <w:abstractNum w:abstractNumId="5" w15:restartNumberingAfterBreak="0">
    <w:nsid w:val="168F1860"/>
    <w:multiLevelType w:val="hybridMultilevel"/>
    <w:tmpl w:val="803E47BC"/>
    <w:lvl w:ilvl="0" w:tplc="34090019">
      <w:start w:val="1"/>
      <w:numFmt w:val="lowerLetter"/>
      <w:lvlText w:val="%1."/>
      <w:lvlJc w:val="left"/>
      <w:pPr>
        <w:ind w:left="1440" w:hanging="360"/>
      </w:p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6" w15:restartNumberingAfterBreak="0">
    <w:nsid w:val="17886BFA"/>
    <w:multiLevelType w:val="hybridMultilevel"/>
    <w:tmpl w:val="32847FD8"/>
    <w:lvl w:ilvl="0" w:tplc="11B258BA">
      <w:start w:val="1"/>
      <w:numFmt w:val="lowerLetter"/>
      <w:lvlText w:val="%1."/>
      <w:lvlJc w:val="left"/>
      <w:pPr>
        <w:ind w:left="720" w:hanging="360"/>
      </w:pPr>
      <w:rPr>
        <w:i w:val="0"/>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7" w15:restartNumberingAfterBreak="0">
    <w:nsid w:val="17E143E9"/>
    <w:multiLevelType w:val="hybridMultilevel"/>
    <w:tmpl w:val="1B6C70F2"/>
    <w:lvl w:ilvl="0" w:tplc="7C52B174">
      <w:start w:val="1"/>
      <w:numFmt w:val="lowerLetter"/>
      <w:lvlText w:val="%1."/>
      <w:lvlJc w:val="left"/>
      <w:pPr>
        <w:ind w:left="1440" w:hanging="360"/>
      </w:pPr>
      <w:rPr>
        <w:color w:val="auto"/>
        <w:sz w:val="22"/>
      </w:rPr>
    </w:lvl>
    <w:lvl w:ilvl="1" w:tplc="34090019">
      <w:start w:val="1"/>
      <w:numFmt w:val="lowerLetter"/>
      <w:lvlText w:val="%2."/>
      <w:lvlJc w:val="left"/>
      <w:pPr>
        <w:ind w:left="2160" w:hanging="360"/>
      </w:pPr>
    </w:lvl>
    <w:lvl w:ilvl="2" w:tplc="3409001B">
      <w:start w:val="1"/>
      <w:numFmt w:val="lowerRoman"/>
      <w:lvlText w:val="%3."/>
      <w:lvlJc w:val="right"/>
      <w:pPr>
        <w:ind w:left="2880" w:hanging="180"/>
      </w:pPr>
    </w:lvl>
    <w:lvl w:ilvl="3" w:tplc="3409000F">
      <w:start w:val="1"/>
      <w:numFmt w:val="decimal"/>
      <w:lvlText w:val="%4."/>
      <w:lvlJc w:val="left"/>
      <w:pPr>
        <w:ind w:left="3600" w:hanging="360"/>
      </w:pPr>
    </w:lvl>
    <w:lvl w:ilvl="4" w:tplc="34090019">
      <w:start w:val="1"/>
      <w:numFmt w:val="lowerLetter"/>
      <w:lvlText w:val="%5."/>
      <w:lvlJc w:val="left"/>
      <w:pPr>
        <w:ind w:left="4320" w:hanging="360"/>
      </w:pPr>
    </w:lvl>
    <w:lvl w:ilvl="5" w:tplc="3409001B">
      <w:start w:val="1"/>
      <w:numFmt w:val="lowerRoman"/>
      <w:lvlText w:val="%6."/>
      <w:lvlJc w:val="right"/>
      <w:pPr>
        <w:ind w:left="5040" w:hanging="180"/>
      </w:pPr>
    </w:lvl>
    <w:lvl w:ilvl="6" w:tplc="3409000F">
      <w:start w:val="1"/>
      <w:numFmt w:val="decimal"/>
      <w:lvlText w:val="%7."/>
      <w:lvlJc w:val="left"/>
      <w:pPr>
        <w:ind w:left="5760" w:hanging="360"/>
      </w:pPr>
    </w:lvl>
    <w:lvl w:ilvl="7" w:tplc="34090019">
      <w:start w:val="1"/>
      <w:numFmt w:val="lowerLetter"/>
      <w:lvlText w:val="%8."/>
      <w:lvlJc w:val="left"/>
      <w:pPr>
        <w:ind w:left="6480" w:hanging="360"/>
      </w:pPr>
    </w:lvl>
    <w:lvl w:ilvl="8" w:tplc="3409001B">
      <w:start w:val="1"/>
      <w:numFmt w:val="lowerRoman"/>
      <w:lvlText w:val="%9."/>
      <w:lvlJc w:val="right"/>
      <w:pPr>
        <w:ind w:left="7200" w:hanging="180"/>
      </w:pPr>
    </w:lvl>
  </w:abstractNum>
  <w:abstractNum w:abstractNumId="8" w15:restartNumberingAfterBreak="0">
    <w:nsid w:val="1CCB52C6"/>
    <w:multiLevelType w:val="hybridMultilevel"/>
    <w:tmpl w:val="976804B8"/>
    <w:lvl w:ilvl="0" w:tplc="34090019">
      <w:start w:val="1"/>
      <w:numFmt w:val="lowerLetter"/>
      <w:lvlText w:val="%1."/>
      <w:lvlJc w:val="left"/>
      <w:pPr>
        <w:ind w:left="0" w:hanging="360"/>
      </w:pPr>
    </w:lvl>
    <w:lvl w:ilvl="1" w:tplc="34090019" w:tentative="1">
      <w:start w:val="1"/>
      <w:numFmt w:val="lowerLetter"/>
      <w:lvlText w:val="%2."/>
      <w:lvlJc w:val="left"/>
      <w:pPr>
        <w:ind w:left="720" w:hanging="360"/>
      </w:pPr>
    </w:lvl>
    <w:lvl w:ilvl="2" w:tplc="3409001B" w:tentative="1">
      <w:start w:val="1"/>
      <w:numFmt w:val="lowerRoman"/>
      <w:lvlText w:val="%3."/>
      <w:lvlJc w:val="right"/>
      <w:pPr>
        <w:ind w:left="1440" w:hanging="180"/>
      </w:pPr>
    </w:lvl>
    <w:lvl w:ilvl="3" w:tplc="3409000F" w:tentative="1">
      <w:start w:val="1"/>
      <w:numFmt w:val="decimal"/>
      <w:lvlText w:val="%4."/>
      <w:lvlJc w:val="left"/>
      <w:pPr>
        <w:ind w:left="2160" w:hanging="360"/>
      </w:pPr>
    </w:lvl>
    <w:lvl w:ilvl="4" w:tplc="34090019" w:tentative="1">
      <w:start w:val="1"/>
      <w:numFmt w:val="lowerLetter"/>
      <w:lvlText w:val="%5."/>
      <w:lvlJc w:val="left"/>
      <w:pPr>
        <w:ind w:left="2880" w:hanging="360"/>
      </w:pPr>
    </w:lvl>
    <w:lvl w:ilvl="5" w:tplc="3409001B" w:tentative="1">
      <w:start w:val="1"/>
      <w:numFmt w:val="lowerRoman"/>
      <w:lvlText w:val="%6."/>
      <w:lvlJc w:val="right"/>
      <w:pPr>
        <w:ind w:left="3600" w:hanging="180"/>
      </w:pPr>
    </w:lvl>
    <w:lvl w:ilvl="6" w:tplc="3409000F" w:tentative="1">
      <w:start w:val="1"/>
      <w:numFmt w:val="decimal"/>
      <w:lvlText w:val="%7."/>
      <w:lvlJc w:val="left"/>
      <w:pPr>
        <w:ind w:left="4320" w:hanging="360"/>
      </w:pPr>
    </w:lvl>
    <w:lvl w:ilvl="7" w:tplc="34090019" w:tentative="1">
      <w:start w:val="1"/>
      <w:numFmt w:val="lowerLetter"/>
      <w:lvlText w:val="%8."/>
      <w:lvlJc w:val="left"/>
      <w:pPr>
        <w:ind w:left="5040" w:hanging="360"/>
      </w:pPr>
    </w:lvl>
    <w:lvl w:ilvl="8" w:tplc="3409001B" w:tentative="1">
      <w:start w:val="1"/>
      <w:numFmt w:val="lowerRoman"/>
      <w:lvlText w:val="%9."/>
      <w:lvlJc w:val="right"/>
      <w:pPr>
        <w:ind w:left="5760" w:hanging="180"/>
      </w:pPr>
    </w:lvl>
  </w:abstractNum>
  <w:abstractNum w:abstractNumId="9" w15:restartNumberingAfterBreak="0">
    <w:nsid w:val="1EFC505E"/>
    <w:multiLevelType w:val="multilevel"/>
    <w:tmpl w:val="BB620CF8"/>
    <w:lvl w:ilvl="0">
      <w:start w:val="1"/>
      <w:numFmt w:val="upperRoman"/>
      <w:lvlText w:val="%1."/>
      <w:lvlJc w:val="left"/>
      <w:pPr>
        <w:ind w:left="1080" w:hanging="72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1F0E22CE"/>
    <w:multiLevelType w:val="multilevel"/>
    <w:tmpl w:val="302C59C4"/>
    <w:lvl w:ilvl="0">
      <w:start w:val="1"/>
      <w:numFmt w:val="decimal"/>
      <w:lvlText w:val="%1."/>
      <w:lvlJc w:val="left"/>
      <w:pPr>
        <w:ind w:left="3554" w:hanging="576"/>
      </w:pPr>
      <w:rPr>
        <w:color w:val="000000" w:themeColor="text1"/>
        <w:sz w:val="22"/>
        <w:szCs w:val="22"/>
      </w:rPr>
    </w:lvl>
    <w:lvl w:ilvl="1">
      <w:start w:val="1"/>
      <w:numFmt w:val="decimal"/>
      <w:lvlText w:val="%1.%2"/>
      <w:lvlJc w:val="left"/>
      <w:pPr>
        <w:ind w:left="1296" w:hanging="720"/>
      </w:pPr>
      <w:rPr>
        <w:rFonts w:ascii="Arial" w:hAnsi="Arial" w:cs="Arial" w:hint="default"/>
        <w:b w:val="0"/>
        <w:i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FD59EC"/>
    <w:multiLevelType w:val="multilevel"/>
    <w:tmpl w:val="DAA44D5C"/>
    <w:lvl w:ilvl="0">
      <w:start w:val="7"/>
      <w:numFmt w:val="decimal"/>
      <w:lvlText w:val="%1."/>
      <w:lvlJc w:val="left"/>
      <w:pPr>
        <w:ind w:left="1069" w:hanging="360"/>
      </w:pPr>
      <w:rPr>
        <w:rFonts w:hint="default"/>
        <w:b w:val="0"/>
        <w:sz w:val="22"/>
        <w:szCs w:val="22"/>
      </w:rPr>
    </w:lvl>
    <w:lvl w:ilvl="1">
      <w:start w:val="1"/>
      <w:numFmt w:val="decimal"/>
      <w:lvlText w:val="%1.%2"/>
      <w:lvlJc w:val="left"/>
      <w:pPr>
        <w:ind w:left="4613" w:hanging="360"/>
      </w:pPr>
      <w:rPr>
        <w:rFonts w:hint="default"/>
        <w:b w:val="0"/>
        <w:sz w:val="22"/>
        <w:szCs w:val="22"/>
      </w:rPr>
    </w:lvl>
    <w:lvl w:ilvl="2">
      <w:start w:val="1"/>
      <w:numFmt w:val="decimal"/>
      <w:lvlText w:val="%1.%2.%3"/>
      <w:lvlJc w:val="left"/>
      <w:pPr>
        <w:ind w:left="3049" w:hanging="720"/>
      </w:pPr>
      <w:rPr>
        <w:rFonts w:hint="default"/>
      </w:rPr>
    </w:lvl>
    <w:lvl w:ilvl="3">
      <w:start w:val="1"/>
      <w:numFmt w:val="decimal"/>
      <w:lvlText w:val="%1.%2.%3.%4"/>
      <w:lvlJc w:val="left"/>
      <w:pPr>
        <w:ind w:left="3859" w:hanging="720"/>
      </w:pPr>
      <w:rPr>
        <w:rFonts w:hint="default"/>
      </w:rPr>
    </w:lvl>
    <w:lvl w:ilvl="4">
      <w:start w:val="1"/>
      <w:numFmt w:val="decimal"/>
      <w:lvlText w:val="%1.%2.%3.%4.%5"/>
      <w:lvlJc w:val="left"/>
      <w:pPr>
        <w:ind w:left="5029" w:hanging="1080"/>
      </w:pPr>
      <w:rPr>
        <w:rFonts w:hint="default"/>
      </w:rPr>
    </w:lvl>
    <w:lvl w:ilvl="5">
      <w:start w:val="1"/>
      <w:numFmt w:val="decimal"/>
      <w:lvlText w:val="%1.%2.%3.%4.%5.%6"/>
      <w:lvlJc w:val="left"/>
      <w:pPr>
        <w:ind w:left="5839" w:hanging="1080"/>
      </w:pPr>
      <w:rPr>
        <w:rFonts w:hint="default"/>
      </w:rPr>
    </w:lvl>
    <w:lvl w:ilvl="6">
      <w:start w:val="1"/>
      <w:numFmt w:val="decimal"/>
      <w:lvlText w:val="%1.%2.%3.%4.%5.%6.%7"/>
      <w:lvlJc w:val="left"/>
      <w:pPr>
        <w:ind w:left="7009" w:hanging="1440"/>
      </w:pPr>
      <w:rPr>
        <w:rFonts w:hint="default"/>
      </w:rPr>
    </w:lvl>
    <w:lvl w:ilvl="7">
      <w:start w:val="1"/>
      <w:numFmt w:val="decimal"/>
      <w:lvlText w:val="%1.%2.%3.%4.%5.%6.%7.%8"/>
      <w:lvlJc w:val="left"/>
      <w:pPr>
        <w:ind w:left="7819" w:hanging="1440"/>
      </w:pPr>
      <w:rPr>
        <w:rFonts w:hint="default"/>
      </w:rPr>
    </w:lvl>
    <w:lvl w:ilvl="8">
      <w:start w:val="1"/>
      <w:numFmt w:val="decimal"/>
      <w:lvlText w:val="%1.%2.%3.%4.%5.%6.%7.%8.%9"/>
      <w:lvlJc w:val="left"/>
      <w:pPr>
        <w:ind w:left="8989" w:hanging="1800"/>
      </w:pPr>
      <w:rPr>
        <w:rFonts w:hint="default"/>
      </w:rPr>
    </w:lvl>
  </w:abstractNum>
  <w:abstractNum w:abstractNumId="12" w15:restartNumberingAfterBreak="0">
    <w:nsid w:val="218659B7"/>
    <w:multiLevelType w:val="hybridMultilevel"/>
    <w:tmpl w:val="934647F2"/>
    <w:lvl w:ilvl="0" w:tplc="741487B4">
      <w:start w:val="1"/>
      <w:numFmt w:val="lowerLetter"/>
      <w:lvlText w:val="%1."/>
      <w:lvlJc w:val="left"/>
      <w:pPr>
        <w:ind w:left="2160" w:hanging="360"/>
      </w:pPr>
      <w:rPr>
        <w:rFonts w:hint="default"/>
      </w:rPr>
    </w:lvl>
    <w:lvl w:ilvl="1" w:tplc="34090019" w:tentative="1">
      <w:start w:val="1"/>
      <w:numFmt w:val="lowerLetter"/>
      <w:lvlText w:val="%2."/>
      <w:lvlJc w:val="left"/>
      <w:pPr>
        <w:ind w:left="2880" w:hanging="360"/>
      </w:p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abstractNum w:abstractNumId="13" w15:restartNumberingAfterBreak="0">
    <w:nsid w:val="2222382C"/>
    <w:multiLevelType w:val="multilevel"/>
    <w:tmpl w:val="3EE2B35C"/>
    <w:lvl w:ilvl="0">
      <w:start w:val="3"/>
      <w:numFmt w:val="decimal"/>
      <w:lvlText w:val="%1."/>
      <w:lvlJc w:val="left"/>
      <w:pPr>
        <w:ind w:left="360" w:hanging="360"/>
      </w:pPr>
      <w:rPr>
        <w:rFonts w:hint="default"/>
        <w:b w:val="0"/>
      </w:rPr>
    </w:lvl>
    <w:lvl w:ilvl="1">
      <w:start w:val="1"/>
      <w:numFmt w:val="decimal"/>
      <w:lvlText w:val="%1.%2."/>
      <w:lvlJc w:val="left"/>
      <w:pPr>
        <w:ind w:left="1288" w:hanging="720"/>
      </w:pPr>
      <w:rPr>
        <w:rFonts w:hint="default"/>
        <w:b w:val="0"/>
        <w:i w:val="0"/>
        <w:sz w:val="22"/>
        <w:szCs w:val="22"/>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b w:val="0"/>
      </w:rPr>
    </w:lvl>
    <w:lvl w:ilvl="4">
      <w:start w:val="1"/>
      <w:numFmt w:val="decimal"/>
      <w:lvlText w:val="%1.%2.%3.%4.%5."/>
      <w:lvlJc w:val="left"/>
      <w:pPr>
        <w:ind w:left="3352" w:hanging="1080"/>
      </w:pPr>
      <w:rPr>
        <w:rFonts w:hint="default"/>
        <w:b w:val="0"/>
      </w:rPr>
    </w:lvl>
    <w:lvl w:ilvl="5">
      <w:start w:val="1"/>
      <w:numFmt w:val="decimal"/>
      <w:lvlText w:val="%1.%2.%3.%4.%5.%6."/>
      <w:lvlJc w:val="left"/>
      <w:pPr>
        <w:ind w:left="4280" w:hanging="1440"/>
      </w:pPr>
      <w:rPr>
        <w:rFonts w:hint="default"/>
        <w:b w:val="0"/>
      </w:rPr>
    </w:lvl>
    <w:lvl w:ilvl="6">
      <w:start w:val="1"/>
      <w:numFmt w:val="decimal"/>
      <w:lvlText w:val="%1.%2.%3.%4.%5.%6.%7."/>
      <w:lvlJc w:val="left"/>
      <w:pPr>
        <w:ind w:left="4848" w:hanging="1440"/>
      </w:pPr>
      <w:rPr>
        <w:rFonts w:hint="default"/>
        <w:b w:val="0"/>
      </w:rPr>
    </w:lvl>
    <w:lvl w:ilvl="7">
      <w:start w:val="1"/>
      <w:numFmt w:val="decimal"/>
      <w:lvlText w:val="%1.%2.%3.%4.%5.%6.%7.%8."/>
      <w:lvlJc w:val="left"/>
      <w:pPr>
        <w:ind w:left="5776" w:hanging="1800"/>
      </w:pPr>
      <w:rPr>
        <w:rFonts w:hint="default"/>
        <w:b w:val="0"/>
      </w:rPr>
    </w:lvl>
    <w:lvl w:ilvl="8">
      <w:start w:val="1"/>
      <w:numFmt w:val="decimal"/>
      <w:lvlText w:val="%1.%2.%3.%4.%5.%6.%7.%8.%9."/>
      <w:lvlJc w:val="left"/>
      <w:pPr>
        <w:ind w:left="6344" w:hanging="1800"/>
      </w:pPr>
      <w:rPr>
        <w:rFonts w:hint="default"/>
        <w:b w:val="0"/>
      </w:rPr>
    </w:lvl>
  </w:abstractNum>
  <w:abstractNum w:abstractNumId="14" w15:restartNumberingAfterBreak="0">
    <w:nsid w:val="2F3B2E75"/>
    <w:multiLevelType w:val="hybridMultilevel"/>
    <w:tmpl w:val="DEA875F0"/>
    <w:lvl w:ilvl="0" w:tplc="34090019">
      <w:start w:val="1"/>
      <w:numFmt w:val="lowerLetter"/>
      <w:lvlText w:val="%1."/>
      <w:lvlJc w:val="left"/>
      <w:pPr>
        <w:ind w:left="1440" w:hanging="360"/>
      </w:p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15" w15:restartNumberingAfterBreak="0">
    <w:nsid w:val="301A1CD6"/>
    <w:multiLevelType w:val="hybridMultilevel"/>
    <w:tmpl w:val="CC36DC18"/>
    <w:lvl w:ilvl="0" w:tplc="8FD21684">
      <w:start w:val="1"/>
      <w:numFmt w:val="lowerLetter"/>
      <w:lvlText w:val="%1."/>
      <w:lvlJc w:val="left"/>
      <w:pPr>
        <w:ind w:left="1778" w:hanging="360"/>
      </w:pPr>
      <w:rPr>
        <w:rFonts w:hint="default"/>
        <w:i w:val="0"/>
        <w:sz w:val="22"/>
      </w:rPr>
    </w:lvl>
    <w:lvl w:ilvl="1" w:tplc="34090019" w:tentative="1">
      <w:start w:val="1"/>
      <w:numFmt w:val="lowerLetter"/>
      <w:lvlText w:val="%2."/>
      <w:lvlJc w:val="left"/>
      <w:pPr>
        <w:ind w:left="2498" w:hanging="360"/>
      </w:pPr>
    </w:lvl>
    <w:lvl w:ilvl="2" w:tplc="3409001B" w:tentative="1">
      <w:start w:val="1"/>
      <w:numFmt w:val="lowerRoman"/>
      <w:lvlText w:val="%3."/>
      <w:lvlJc w:val="right"/>
      <w:pPr>
        <w:ind w:left="3218" w:hanging="180"/>
      </w:pPr>
    </w:lvl>
    <w:lvl w:ilvl="3" w:tplc="3409000F" w:tentative="1">
      <w:start w:val="1"/>
      <w:numFmt w:val="decimal"/>
      <w:lvlText w:val="%4."/>
      <w:lvlJc w:val="left"/>
      <w:pPr>
        <w:ind w:left="3938" w:hanging="360"/>
      </w:pPr>
    </w:lvl>
    <w:lvl w:ilvl="4" w:tplc="34090019" w:tentative="1">
      <w:start w:val="1"/>
      <w:numFmt w:val="lowerLetter"/>
      <w:lvlText w:val="%5."/>
      <w:lvlJc w:val="left"/>
      <w:pPr>
        <w:ind w:left="4658" w:hanging="360"/>
      </w:pPr>
    </w:lvl>
    <w:lvl w:ilvl="5" w:tplc="3409001B" w:tentative="1">
      <w:start w:val="1"/>
      <w:numFmt w:val="lowerRoman"/>
      <w:lvlText w:val="%6."/>
      <w:lvlJc w:val="right"/>
      <w:pPr>
        <w:ind w:left="5378" w:hanging="180"/>
      </w:pPr>
    </w:lvl>
    <w:lvl w:ilvl="6" w:tplc="3409000F" w:tentative="1">
      <w:start w:val="1"/>
      <w:numFmt w:val="decimal"/>
      <w:lvlText w:val="%7."/>
      <w:lvlJc w:val="left"/>
      <w:pPr>
        <w:ind w:left="6098" w:hanging="360"/>
      </w:pPr>
    </w:lvl>
    <w:lvl w:ilvl="7" w:tplc="34090019" w:tentative="1">
      <w:start w:val="1"/>
      <w:numFmt w:val="lowerLetter"/>
      <w:lvlText w:val="%8."/>
      <w:lvlJc w:val="left"/>
      <w:pPr>
        <w:ind w:left="6818" w:hanging="360"/>
      </w:pPr>
    </w:lvl>
    <w:lvl w:ilvl="8" w:tplc="3409001B" w:tentative="1">
      <w:start w:val="1"/>
      <w:numFmt w:val="lowerRoman"/>
      <w:lvlText w:val="%9."/>
      <w:lvlJc w:val="right"/>
      <w:pPr>
        <w:ind w:left="7538" w:hanging="180"/>
      </w:pPr>
    </w:lvl>
  </w:abstractNum>
  <w:abstractNum w:abstractNumId="16" w15:restartNumberingAfterBreak="0">
    <w:nsid w:val="30376D34"/>
    <w:multiLevelType w:val="hybridMultilevel"/>
    <w:tmpl w:val="AD288516"/>
    <w:lvl w:ilvl="0" w:tplc="2C06618C">
      <w:start w:val="1"/>
      <w:numFmt w:val="lowerLetter"/>
      <w:lvlText w:val="%1."/>
      <w:lvlJc w:val="left"/>
      <w:pPr>
        <w:ind w:left="1069" w:hanging="360"/>
      </w:pPr>
      <w:rPr>
        <w:rFonts w:hint="default"/>
      </w:rPr>
    </w:lvl>
    <w:lvl w:ilvl="1" w:tplc="34090019" w:tentative="1">
      <w:start w:val="1"/>
      <w:numFmt w:val="lowerLetter"/>
      <w:lvlText w:val="%2."/>
      <w:lvlJc w:val="left"/>
      <w:pPr>
        <w:ind w:left="1789" w:hanging="360"/>
      </w:pPr>
    </w:lvl>
    <w:lvl w:ilvl="2" w:tplc="3409001B" w:tentative="1">
      <w:start w:val="1"/>
      <w:numFmt w:val="lowerRoman"/>
      <w:lvlText w:val="%3."/>
      <w:lvlJc w:val="right"/>
      <w:pPr>
        <w:ind w:left="2509" w:hanging="180"/>
      </w:pPr>
    </w:lvl>
    <w:lvl w:ilvl="3" w:tplc="3409000F" w:tentative="1">
      <w:start w:val="1"/>
      <w:numFmt w:val="decimal"/>
      <w:lvlText w:val="%4."/>
      <w:lvlJc w:val="left"/>
      <w:pPr>
        <w:ind w:left="3229" w:hanging="360"/>
      </w:pPr>
    </w:lvl>
    <w:lvl w:ilvl="4" w:tplc="34090019" w:tentative="1">
      <w:start w:val="1"/>
      <w:numFmt w:val="lowerLetter"/>
      <w:lvlText w:val="%5."/>
      <w:lvlJc w:val="left"/>
      <w:pPr>
        <w:ind w:left="3949" w:hanging="360"/>
      </w:pPr>
    </w:lvl>
    <w:lvl w:ilvl="5" w:tplc="3409001B" w:tentative="1">
      <w:start w:val="1"/>
      <w:numFmt w:val="lowerRoman"/>
      <w:lvlText w:val="%6."/>
      <w:lvlJc w:val="right"/>
      <w:pPr>
        <w:ind w:left="4669" w:hanging="180"/>
      </w:pPr>
    </w:lvl>
    <w:lvl w:ilvl="6" w:tplc="3409000F" w:tentative="1">
      <w:start w:val="1"/>
      <w:numFmt w:val="decimal"/>
      <w:lvlText w:val="%7."/>
      <w:lvlJc w:val="left"/>
      <w:pPr>
        <w:ind w:left="5389" w:hanging="360"/>
      </w:pPr>
    </w:lvl>
    <w:lvl w:ilvl="7" w:tplc="34090019" w:tentative="1">
      <w:start w:val="1"/>
      <w:numFmt w:val="lowerLetter"/>
      <w:lvlText w:val="%8."/>
      <w:lvlJc w:val="left"/>
      <w:pPr>
        <w:ind w:left="6109" w:hanging="360"/>
      </w:pPr>
    </w:lvl>
    <w:lvl w:ilvl="8" w:tplc="3409001B" w:tentative="1">
      <w:start w:val="1"/>
      <w:numFmt w:val="lowerRoman"/>
      <w:lvlText w:val="%9."/>
      <w:lvlJc w:val="right"/>
      <w:pPr>
        <w:ind w:left="6829" w:hanging="180"/>
      </w:pPr>
    </w:lvl>
  </w:abstractNum>
  <w:abstractNum w:abstractNumId="17" w15:restartNumberingAfterBreak="0">
    <w:nsid w:val="363268F9"/>
    <w:multiLevelType w:val="hybridMultilevel"/>
    <w:tmpl w:val="79FE7E40"/>
    <w:lvl w:ilvl="0" w:tplc="FEC45BEC">
      <w:start w:val="1"/>
      <w:numFmt w:val="lowerLetter"/>
      <w:lvlText w:val="%1."/>
      <w:lvlJc w:val="left"/>
      <w:pPr>
        <w:ind w:left="720" w:hanging="360"/>
      </w:pPr>
      <w:rPr>
        <w:rFonts w:hint="default"/>
        <w:b w:val="0"/>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8" w15:restartNumberingAfterBreak="0">
    <w:nsid w:val="3BC24999"/>
    <w:multiLevelType w:val="multilevel"/>
    <w:tmpl w:val="1FD8F3B6"/>
    <w:lvl w:ilvl="0">
      <w:start w:val="1"/>
      <w:numFmt w:val="decimal"/>
      <w:lvlText w:val="%1."/>
      <w:lvlJc w:val="left"/>
      <w:pPr>
        <w:ind w:left="360" w:hanging="360"/>
      </w:pPr>
      <w:rPr>
        <w:b/>
      </w:rPr>
    </w:lvl>
    <w:lvl w:ilvl="1">
      <w:start w:val="1"/>
      <w:numFmt w:val="decimal"/>
      <w:lvlText w:val="%1.%2."/>
      <w:lvlJc w:val="left"/>
      <w:pPr>
        <w:ind w:left="720" w:hanging="720"/>
      </w:pPr>
      <w:rPr>
        <w:b w:val="0"/>
      </w:rPr>
    </w:lvl>
    <w:lvl w:ilvl="2">
      <w:start w:val="1"/>
      <w:numFmt w:val="decimal"/>
      <w:lvlText w:val="%1.%2.%3."/>
      <w:lvlJc w:val="left"/>
      <w:pPr>
        <w:ind w:left="720" w:hanging="720"/>
      </w:pPr>
      <w:rPr>
        <w:b/>
      </w:rPr>
    </w:lvl>
    <w:lvl w:ilvl="3">
      <w:start w:val="1"/>
      <w:numFmt w:val="decimal"/>
      <w:lvlText w:val="%1.%2.%3.%4."/>
      <w:lvlJc w:val="left"/>
      <w:pPr>
        <w:ind w:left="1080" w:hanging="1080"/>
      </w:pPr>
      <w:rPr>
        <w:b/>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440" w:hanging="1440"/>
      </w:pPr>
      <w:rPr>
        <w:b/>
      </w:rPr>
    </w:lvl>
    <w:lvl w:ilvl="7">
      <w:start w:val="1"/>
      <w:numFmt w:val="decimal"/>
      <w:lvlText w:val="%1.%2.%3.%4.%5.%6.%7.%8."/>
      <w:lvlJc w:val="left"/>
      <w:pPr>
        <w:ind w:left="1800" w:hanging="1800"/>
      </w:pPr>
      <w:rPr>
        <w:b/>
      </w:rPr>
    </w:lvl>
    <w:lvl w:ilvl="8">
      <w:start w:val="1"/>
      <w:numFmt w:val="decimal"/>
      <w:lvlText w:val="%1.%2.%3.%4.%5.%6.%7.%8.%9."/>
      <w:lvlJc w:val="left"/>
      <w:pPr>
        <w:ind w:left="1800" w:hanging="1800"/>
      </w:pPr>
      <w:rPr>
        <w:b/>
      </w:rPr>
    </w:lvl>
  </w:abstractNum>
  <w:abstractNum w:abstractNumId="19" w15:restartNumberingAfterBreak="0">
    <w:nsid w:val="3DA77935"/>
    <w:multiLevelType w:val="multilevel"/>
    <w:tmpl w:val="E23CDB1C"/>
    <w:lvl w:ilvl="0">
      <w:start w:val="5"/>
      <w:numFmt w:val="decimal"/>
      <w:lvlText w:val="%1."/>
      <w:lvlJc w:val="left"/>
      <w:pPr>
        <w:ind w:left="360" w:hanging="360"/>
      </w:pPr>
      <w:rPr>
        <w:rFonts w:hint="default"/>
      </w:rPr>
    </w:lvl>
    <w:lvl w:ilvl="1">
      <w:start w:val="1"/>
      <w:numFmt w:val="decimal"/>
      <w:lvlText w:val="%1.%2."/>
      <w:lvlJc w:val="left"/>
      <w:pPr>
        <w:ind w:left="1146" w:hanging="720"/>
      </w:pPr>
      <w:rPr>
        <w:rFonts w:hint="default"/>
        <w:b w:val="0"/>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F1D0F99"/>
    <w:multiLevelType w:val="hybridMultilevel"/>
    <w:tmpl w:val="7E32C440"/>
    <w:lvl w:ilvl="0" w:tplc="3692F85C">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1" w15:restartNumberingAfterBreak="0">
    <w:nsid w:val="3FF02AD3"/>
    <w:multiLevelType w:val="multilevel"/>
    <w:tmpl w:val="CA188252"/>
    <w:lvl w:ilvl="0">
      <w:start w:val="6"/>
      <w:numFmt w:val="decimal"/>
      <w:lvlText w:val="%1."/>
      <w:lvlJc w:val="left"/>
      <w:pPr>
        <w:ind w:left="360" w:hanging="360"/>
      </w:pPr>
      <w:rPr>
        <w:rFonts w:hint="default"/>
        <w:b w:val="0"/>
      </w:rPr>
    </w:lvl>
    <w:lvl w:ilvl="1">
      <w:start w:val="1"/>
      <w:numFmt w:val="decimal"/>
      <w:lvlText w:val="%1.%2."/>
      <w:lvlJc w:val="left"/>
      <w:pPr>
        <w:ind w:left="2138" w:hanging="720"/>
      </w:pPr>
      <w:rPr>
        <w:rFonts w:hint="default"/>
        <w:b w:val="0"/>
        <w:sz w:val="22"/>
        <w:szCs w:val="22"/>
      </w:rPr>
    </w:lvl>
    <w:lvl w:ilvl="2">
      <w:start w:val="1"/>
      <w:numFmt w:val="decimal"/>
      <w:lvlText w:val="%1.%2.%3."/>
      <w:lvlJc w:val="left"/>
      <w:pPr>
        <w:ind w:left="3556" w:hanging="720"/>
      </w:pPr>
      <w:rPr>
        <w:rFonts w:hint="default"/>
        <w:b w:val="0"/>
      </w:rPr>
    </w:lvl>
    <w:lvl w:ilvl="3">
      <w:start w:val="1"/>
      <w:numFmt w:val="decimal"/>
      <w:lvlText w:val="%1.%2.%3.%4."/>
      <w:lvlJc w:val="left"/>
      <w:pPr>
        <w:ind w:left="5334" w:hanging="1080"/>
      </w:pPr>
      <w:rPr>
        <w:rFonts w:hint="default"/>
        <w:b w:val="0"/>
      </w:rPr>
    </w:lvl>
    <w:lvl w:ilvl="4">
      <w:start w:val="1"/>
      <w:numFmt w:val="decimal"/>
      <w:lvlText w:val="%1.%2.%3.%4.%5."/>
      <w:lvlJc w:val="left"/>
      <w:pPr>
        <w:ind w:left="6752" w:hanging="1080"/>
      </w:pPr>
      <w:rPr>
        <w:rFonts w:hint="default"/>
        <w:b w:val="0"/>
      </w:rPr>
    </w:lvl>
    <w:lvl w:ilvl="5">
      <w:start w:val="1"/>
      <w:numFmt w:val="decimal"/>
      <w:lvlText w:val="%1.%2.%3.%4.%5.%6."/>
      <w:lvlJc w:val="left"/>
      <w:pPr>
        <w:ind w:left="8530" w:hanging="1440"/>
      </w:pPr>
      <w:rPr>
        <w:rFonts w:hint="default"/>
        <w:b w:val="0"/>
      </w:rPr>
    </w:lvl>
    <w:lvl w:ilvl="6">
      <w:start w:val="1"/>
      <w:numFmt w:val="decimal"/>
      <w:lvlText w:val="%1.%2.%3.%4.%5.%6.%7."/>
      <w:lvlJc w:val="left"/>
      <w:pPr>
        <w:ind w:left="9948" w:hanging="1440"/>
      </w:pPr>
      <w:rPr>
        <w:rFonts w:hint="default"/>
        <w:b w:val="0"/>
      </w:rPr>
    </w:lvl>
    <w:lvl w:ilvl="7">
      <w:start w:val="1"/>
      <w:numFmt w:val="decimal"/>
      <w:lvlText w:val="%1.%2.%3.%4.%5.%6.%7.%8."/>
      <w:lvlJc w:val="left"/>
      <w:pPr>
        <w:ind w:left="11726" w:hanging="1800"/>
      </w:pPr>
      <w:rPr>
        <w:rFonts w:hint="default"/>
        <w:b w:val="0"/>
      </w:rPr>
    </w:lvl>
    <w:lvl w:ilvl="8">
      <w:start w:val="1"/>
      <w:numFmt w:val="decimal"/>
      <w:lvlText w:val="%1.%2.%3.%4.%5.%6.%7.%8.%9."/>
      <w:lvlJc w:val="left"/>
      <w:pPr>
        <w:ind w:left="13144" w:hanging="1800"/>
      </w:pPr>
      <w:rPr>
        <w:rFonts w:hint="default"/>
        <w:b w:val="0"/>
      </w:rPr>
    </w:lvl>
  </w:abstractNum>
  <w:abstractNum w:abstractNumId="22" w15:restartNumberingAfterBreak="0">
    <w:nsid w:val="446D5F7B"/>
    <w:multiLevelType w:val="multilevel"/>
    <w:tmpl w:val="44028AAE"/>
    <w:lvl w:ilvl="0">
      <w:start w:val="9"/>
      <w:numFmt w:val="decimal"/>
      <w:lvlText w:val="%1."/>
      <w:lvlJc w:val="left"/>
      <w:pPr>
        <w:ind w:left="360" w:hanging="360"/>
      </w:pPr>
      <w:rPr>
        <w:rFonts w:hint="default"/>
      </w:rPr>
    </w:lvl>
    <w:lvl w:ilvl="1">
      <w:start w:val="1"/>
      <w:numFmt w:val="decimal"/>
      <w:lvlText w:val="%1.%2."/>
      <w:lvlJc w:val="left"/>
      <w:pPr>
        <w:ind w:left="1146" w:hanging="720"/>
      </w:pPr>
      <w:rPr>
        <w:rFonts w:hint="default"/>
        <w:b w:val="0"/>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6BB3333"/>
    <w:multiLevelType w:val="hybridMultilevel"/>
    <w:tmpl w:val="803E47BC"/>
    <w:lvl w:ilvl="0" w:tplc="34090019">
      <w:start w:val="1"/>
      <w:numFmt w:val="lowerLetter"/>
      <w:lvlText w:val="%1."/>
      <w:lvlJc w:val="left"/>
      <w:pPr>
        <w:ind w:left="1440" w:hanging="360"/>
      </w:p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24" w15:restartNumberingAfterBreak="0">
    <w:nsid w:val="4DE33E14"/>
    <w:multiLevelType w:val="hybridMultilevel"/>
    <w:tmpl w:val="CF683F7E"/>
    <w:lvl w:ilvl="0" w:tplc="04090015">
      <w:start w:val="1"/>
      <w:numFmt w:val="upperLetter"/>
      <w:lvlText w:val="%1."/>
      <w:lvlJc w:val="left"/>
      <w:pPr>
        <w:ind w:left="720" w:hanging="360"/>
      </w:pPr>
    </w:lvl>
    <w:lvl w:ilvl="1" w:tplc="4FDE4830">
      <w:start w:val="1"/>
      <w:numFmt w:val="lowerLetter"/>
      <w:lvlText w:val="%2."/>
      <w:lvlJc w:val="left"/>
      <w:pPr>
        <w:ind w:left="1635" w:hanging="555"/>
      </w:pPr>
      <w:rPr>
        <w:b w:val="0"/>
        <w:i w:val="0"/>
      </w:rPr>
    </w:lvl>
    <w:lvl w:ilvl="2" w:tplc="9D5EC380">
      <w:start w:val="1"/>
      <w:numFmt w:val="lowerRoman"/>
      <w:lvlText w:val="(%3)"/>
      <w:lvlJc w:val="left"/>
      <w:pPr>
        <w:ind w:left="2700" w:hanging="72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4F8D2B45"/>
    <w:multiLevelType w:val="hybridMultilevel"/>
    <w:tmpl w:val="74D6A27E"/>
    <w:lvl w:ilvl="0" w:tplc="34090019">
      <w:start w:val="1"/>
      <w:numFmt w:val="lowerLetter"/>
      <w:lvlText w:val="%1."/>
      <w:lvlJc w:val="left"/>
      <w:pPr>
        <w:ind w:left="720" w:hanging="360"/>
      </w:pPr>
      <w:rPr>
        <w:rFonts w:hint="default"/>
        <w:color w:val="auto"/>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6" w15:restartNumberingAfterBreak="0">
    <w:nsid w:val="524A2982"/>
    <w:multiLevelType w:val="hybridMultilevel"/>
    <w:tmpl w:val="DF601A70"/>
    <w:lvl w:ilvl="0" w:tplc="694E6360">
      <w:start w:val="1"/>
      <w:numFmt w:val="lowerLetter"/>
      <w:lvlText w:val="%1."/>
      <w:lvlJc w:val="left"/>
      <w:pPr>
        <w:ind w:left="1080" w:hanging="360"/>
      </w:pPr>
      <w:rPr>
        <w:rFonts w:eastAsia="Calibri"/>
      </w:rPr>
    </w:lvl>
    <w:lvl w:ilvl="1" w:tplc="34090019">
      <w:start w:val="1"/>
      <w:numFmt w:val="lowerLetter"/>
      <w:lvlText w:val="%2."/>
      <w:lvlJc w:val="left"/>
      <w:pPr>
        <w:ind w:left="1800" w:hanging="360"/>
      </w:pPr>
    </w:lvl>
    <w:lvl w:ilvl="2" w:tplc="3409001B">
      <w:start w:val="1"/>
      <w:numFmt w:val="lowerRoman"/>
      <w:lvlText w:val="%3."/>
      <w:lvlJc w:val="right"/>
      <w:pPr>
        <w:ind w:left="2520" w:hanging="180"/>
      </w:pPr>
    </w:lvl>
    <w:lvl w:ilvl="3" w:tplc="3409000F">
      <w:start w:val="1"/>
      <w:numFmt w:val="decimal"/>
      <w:lvlText w:val="%4."/>
      <w:lvlJc w:val="left"/>
      <w:pPr>
        <w:ind w:left="3240" w:hanging="360"/>
      </w:pPr>
    </w:lvl>
    <w:lvl w:ilvl="4" w:tplc="34090019">
      <w:start w:val="1"/>
      <w:numFmt w:val="lowerLetter"/>
      <w:lvlText w:val="%5."/>
      <w:lvlJc w:val="left"/>
      <w:pPr>
        <w:ind w:left="3960" w:hanging="360"/>
      </w:pPr>
    </w:lvl>
    <w:lvl w:ilvl="5" w:tplc="3409001B">
      <w:start w:val="1"/>
      <w:numFmt w:val="lowerRoman"/>
      <w:lvlText w:val="%6."/>
      <w:lvlJc w:val="right"/>
      <w:pPr>
        <w:ind w:left="4680" w:hanging="180"/>
      </w:pPr>
    </w:lvl>
    <w:lvl w:ilvl="6" w:tplc="3409000F">
      <w:start w:val="1"/>
      <w:numFmt w:val="decimal"/>
      <w:lvlText w:val="%7."/>
      <w:lvlJc w:val="left"/>
      <w:pPr>
        <w:ind w:left="5400" w:hanging="360"/>
      </w:pPr>
    </w:lvl>
    <w:lvl w:ilvl="7" w:tplc="34090019">
      <w:start w:val="1"/>
      <w:numFmt w:val="lowerLetter"/>
      <w:lvlText w:val="%8."/>
      <w:lvlJc w:val="left"/>
      <w:pPr>
        <w:ind w:left="6120" w:hanging="360"/>
      </w:pPr>
    </w:lvl>
    <w:lvl w:ilvl="8" w:tplc="3409001B">
      <w:start w:val="1"/>
      <w:numFmt w:val="lowerRoman"/>
      <w:lvlText w:val="%9."/>
      <w:lvlJc w:val="right"/>
      <w:pPr>
        <w:ind w:left="6840" w:hanging="180"/>
      </w:pPr>
    </w:lvl>
  </w:abstractNum>
  <w:abstractNum w:abstractNumId="27" w15:restartNumberingAfterBreak="0">
    <w:nsid w:val="569979BB"/>
    <w:multiLevelType w:val="hybridMultilevel"/>
    <w:tmpl w:val="0C60073A"/>
    <w:lvl w:ilvl="0" w:tplc="34090019">
      <w:start w:val="1"/>
      <w:numFmt w:val="lowerLetter"/>
      <w:lvlText w:val="%1."/>
      <w:lvlJc w:val="left"/>
      <w:pPr>
        <w:ind w:left="2160" w:hanging="360"/>
      </w:pPr>
    </w:lvl>
    <w:lvl w:ilvl="1" w:tplc="34090019" w:tentative="1">
      <w:start w:val="1"/>
      <w:numFmt w:val="lowerLetter"/>
      <w:lvlText w:val="%2."/>
      <w:lvlJc w:val="left"/>
      <w:pPr>
        <w:ind w:left="2880" w:hanging="360"/>
      </w:p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abstractNum w:abstractNumId="28" w15:restartNumberingAfterBreak="0">
    <w:nsid w:val="5BBA3538"/>
    <w:multiLevelType w:val="hybridMultilevel"/>
    <w:tmpl w:val="30CC6D2E"/>
    <w:lvl w:ilvl="0" w:tplc="3409000F">
      <w:start w:val="1"/>
      <w:numFmt w:val="decimal"/>
      <w:lvlText w:val="%1."/>
      <w:lvlJc w:val="left"/>
      <w:pPr>
        <w:ind w:left="720" w:hanging="360"/>
      </w:pPr>
      <w:rPr>
        <w:rFonts w:hint="default"/>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9" w15:restartNumberingAfterBreak="0">
    <w:nsid w:val="600B5F81"/>
    <w:multiLevelType w:val="hybridMultilevel"/>
    <w:tmpl w:val="B2BEB388"/>
    <w:lvl w:ilvl="0" w:tplc="17F0BB2E">
      <w:start w:val="1"/>
      <w:numFmt w:val="lowerLetter"/>
      <w:lvlText w:val="%1."/>
      <w:lvlJc w:val="left"/>
      <w:pPr>
        <w:ind w:left="1496" w:hanging="360"/>
      </w:pPr>
      <w:rPr>
        <w:b/>
      </w:rPr>
    </w:lvl>
    <w:lvl w:ilvl="1" w:tplc="34090019" w:tentative="1">
      <w:start w:val="1"/>
      <w:numFmt w:val="lowerLetter"/>
      <w:lvlText w:val="%2."/>
      <w:lvlJc w:val="left"/>
      <w:pPr>
        <w:ind w:left="2216" w:hanging="360"/>
      </w:pPr>
    </w:lvl>
    <w:lvl w:ilvl="2" w:tplc="3409001B" w:tentative="1">
      <w:start w:val="1"/>
      <w:numFmt w:val="lowerRoman"/>
      <w:lvlText w:val="%3."/>
      <w:lvlJc w:val="right"/>
      <w:pPr>
        <w:ind w:left="2936" w:hanging="180"/>
      </w:pPr>
    </w:lvl>
    <w:lvl w:ilvl="3" w:tplc="3409000F" w:tentative="1">
      <w:start w:val="1"/>
      <w:numFmt w:val="decimal"/>
      <w:lvlText w:val="%4."/>
      <w:lvlJc w:val="left"/>
      <w:pPr>
        <w:ind w:left="3656" w:hanging="360"/>
      </w:pPr>
    </w:lvl>
    <w:lvl w:ilvl="4" w:tplc="34090019" w:tentative="1">
      <w:start w:val="1"/>
      <w:numFmt w:val="lowerLetter"/>
      <w:lvlText w:val="%5."/>
      <w:lvlJc w:val="left"/>
      <w:pPr>
        <w:ind w:left="4376" w:hanging="360"/>
      </w:pPr>
    </w:lvl>
    <w:lvl w:ilvl="5" w:tplc="3409001B" w:tentative="1">
      <w:start w:val="1"/>
      <w:numFmt w:val="lowerRoman"/>
      <w:lvlText w:val="%6."/>
      <w:lvlJc w:val="right"/>
      <w:pPr>
        <w:ind w:left="5096" w:hanging="180"/>
      </w:pPr>
    </w:lvl>
    <w:lvl w:ilvl="6" w:tplc="3409000F" w:tentative="1">
      <w:start w:val="1"/>
      <w:numFmt w:val="decimal"/>
      <w:lvlText w:val="%7."/>
      <w:lvlJc w:val="left"/>
      <w:pPr>
        <w:ind w:left="5816" w:hanging="360"/>
      </w:pPr>
    </w:lvl>
    <w:lvl w:ilvl="7" w:tplc="34090019" w:tentative="1">
      <w:start w:val="1"/>
      <w:numFmt w:val="lowerLetter"/>
      <w:lvlText w:val="%8."/>
      <w:lvlJc w:val="left"/>
      <w:pPr>
        <w:ind w:left="6536" w:hanging="360"/>
      </w:pPr>
    </w:lvl>
    <w:lvl w:ilvl="8" w:tplc="3409001B" w:tentative="1">
      <w:start w:val="1"/>
      <w:numFmt w:val="lowerRoman"/>
      <w:lvlText w:val="%9."/>
      <w:lvlJc w:val="right"/>
      <w:pPr>
        <w:ind w:left="7256" w:hanging="180"/>
      </w:pPr>
    </w:lvl>
  </w:abstractNum>
  <w:abstractNum w:abstractNumId="30" w15:restartNumberingAfterBreak="0">
    <w:nsid w:val="601F4F29"/>
    <w:multiLevelType w:val="hybridMultilevel"/>
    <w:tmpl w:val="63F4F26C"/>
    <w:lvl w:ilvl="0" w:tplc="74D0CD6A">
      <w:start w:val="1"/>
      <w:numFmt w:val="lowerRoman"/>
      <w:lvlText w:val="%1."/>
      <w:lvlJc w:val="left"/>
      <w:pPr>
        <w:ind w:left="1713" w:hanging="720"/>
      </w:pPr>
      <w:rPr>
        <w:rFonts w:ascii="Arial" w:hAnsi="Arial" w:cs="Arial" w:hint="default"/>
        <w:i/>
      </w:rPr>
    </w:lvl>
    <w:lvl w:ilvl="1" w:tplc="DAF45100">
      <w:start w:val="1"/>
      <w:numFmt w:val="lowerLetter"/>
      <w:lvlText w:val="%2."/>
      <w:lvlJc w:val="left"/>
      <w:pPr>
        <w:ind w:left="2073" w:hanging="360"/>
      </w:pPr>
      <w:rPr>
        <w:rFonts w:hint="default"/>
        <w:b w:val="0"/>
        <w:i w:val="0"/>
      </w:rPr>
    </w:lvl>
    <w:lvl w:ilvl="2" w:tplc="3409001B">
      <w:start w:val="1"/>
      <w:numFmt w:val="lowerRoman"/>
      <w:lvlText w:val="%3."/>
      <w:lvlJc w:val="right"/>
      <w:pPr>
        <w:ind w:left="2793" w:hanging="180"/>
      </w:pPr>
    </w:lvl>
    <w:lvl w:ilvl="3" w:tplc="3409000F">
      <w:start w:val="1"/>
      <w:numFmt w:val="decimal"/>
      <w:lvlText w:val="%4."/>
      <w:lvlJc w:val="left"/>
      <w:pPr>
        <w:ind w:left="3513" w:hanging="360"/>
      </w:pPr>
    </w:lvl>
    <w:lvl w:ilvl="4" w:tplc="AEC8B78E">
      <w:start w:val="1"/>
      <w:numFmt w:val="lowerLetter"/>
      <w:lvlText w:val="%5."/>
      <w:lvlJc w:val="left"/>
      <w:pPr>
        <w:ind w:left="4233" w:hanging="360"/>
      </w:pPr>
      <w:rPr>
        <w:b w:val="0"/>
        <w:i w:val="0"/>
      </w:rPr>
    </w:lvl>
    <w:lvl w:ilvl="5" w:tplc="3409001B">
      <w:start w:val="1"/>
      <w:numFmt w:val="lowerRoman"/>
      <w:lvlText w:val="%6."/>
      <w:lvlJc w:val="right"/>
      <w:pPr>
        <w:ind w:left="4953" w:hanging="180"/>
      </w:pPr>
    </w:lvl>
    <w:lvl w:ilvl="6" w:tplc="3409000F">
      <w:start w:val="1"/>
      <w:numFmt w:val="decimal"/>
      <w:lvlText w:val="%7."/>
      <w:lvlJc w:val="left"/>
      <w:pPr>
        <w:ind w:left="5673" w:hanging="360"/>
      </w:pPr>
    </w:lvl>
    <w:lvl w:ilvl="7" w:tplc="34090019">
      <w:start w:val="1"/>
      <w:numFmt w:val="lowerLetter"/>
      <w:lvlText w:val="%8."/>
      <w:lvlJc w:val="left"/>
      <w:pPr>
        <w:ind w:left="6393" w:hanging="360"/>
      </w:pPr>
    </w:lvl>
    <w:lvl w:ilvl="8" w:tplc="3409001B">
      <w:start w:val="1"/>
      <w:numFmt w:val="lowerRoman"/>
      <w:lvlText w:val="%9."/>
      <w:lvlJc w:val="right"/>
      <w:pPr>
        <w:ind w:left="7113" w:hanging="180"/>
      </w:pPr>
    </w:lvl>
  </w:abstractNum>
  <w:abstractNum w:abstractNumId="31" w15:restartNumberingAfterBreak="0">
    <w:nsid w:val="619613D3"/>
    <w:multiLevelType w:val="hybridMultilevel"/>
    <w:tmpl w:val="0E4616D8"/>
    <w:lvl w:ilvl="0" w:tplc="9F5ADF52">
      <w:start w:val="1"/>
      <w:numFmt w:val="lowerLetter"/>
      <w:lvlText w:val="%1."/>
      <w:lvlJc w:val="left"/>
      <w:pPr>
        <w:ind w:left="1440" w:hanging="360"/>
      </w:pPr>
      <w:rPr>
        <w:rFonts w:hint="default"/>
        <w:b w:val="0"/>
        <w:color w:val="000000" w:themeColor="text1"/>
      </w:rPr>
    </w:lvl>
    <w:lvl w:ilvl="1" w:tplc="34090019">
      <w:start w:val="1"/>
      <w:numFmt w:val="lowerLetter"/>
      <w:lvlText w:val="%2."/>
      <w:lvlJc w:val="left"/>
      <w:pPr>
        <w:ind w:left="2160" w:hanging="360"/>
      </w:pPr>
    </w:lvl>
    <w:lvl w:ilvl="2" w:tplc="3409001B">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32" w15:restartNumberingAfterBreak="0">
    <w:nsid w:val="62510184"/>
    <w:multiLevelType w:val="hybridMultilevel"/>
    <w:tmpl w:val="97CAB7FC"/>
    <w:lvl w:ilvl="0" w:tplc="34090019">
      <w:start w:val="1"/>
      <w:numFmt w:val="lowerLetter"/>
      <w:lvlText w:val="%1."/>
      <w:lvlJc w:val="left"/>
      <w:pPr>
        <w:ind w:left="1440" w:hanging="360"/>
      </w:p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33" w15:restartNumberingAfterBreak="0">
    <w:nsid w:val="6CC47B5E"/>
    <w:multiLevelType w:val="multilevel"/>
    <w:tmpl w:val="B92EAF70"/>
    <w:lvl w:ilvl="0">
      <w:start w:val="2"/>
      <w:numFmt w:val="decimal"/>
      <w:lvlText w:val="%1."/>
      <w:lvlJc w:val="left"/>
      <w:pPr>
        <w:ind w:left="360" w:hanging="360"/>
      </w:pPr>
      <w:rPr>
        <w:b w:val="0"/>
      </w:rPr>
    </w:lvl>
    <w:lvl w:ilvl="1">
      <w:start w:val="1"/>
      <w:numFmt w:val="decimal"/>
      <w:lvlText w:val="%1.%2."/>
      <w:lvlJc w:val="left"/>
      <w:pPr>
        <w:ind w:left="1288" w:hanging="720"/>
      </w:pPr>
      <w:rPr>
        <w:b w:val="0"/>
        <w:i w:val="0"/>
        <w:sz w:val="22"/>
        <w:szCs w:val="22"/>
      </w:rPr>
    </w:lvl>
    <w:lvl w:ilvl="2">
      <w:start w:val="1"/>
      <w:numFmt w:val="decimal"/>
      <w:lvlText w:val="%1.%2.%3."/>
      <w:lvlJc w:val="left"/>
      <w:pPr>
        <w:ind w:left="1856" w:hanging="720"/>
      </w:pPr>
      <w:rPr>
        <w:b w:val="0"/>
      </w:rPr>
    </w:lvl>
    <w:lvl w:ilvl="3">
      <w:start w:val="1"/>
      <w:numFmt w:val="decimal"/>
      <w:lvlText w:val="%1.%2.%3.%4."/>
      <w:lvlJc w:val="left"/>
      <w:pPr>
        <w:ind w:left="2784" w:hanging="1080"/>
      </w:pPr>
      <w:rPr>
        <w:b w:val="0"/>
      </w:rPr>
    </w:lvl>
    <w:lvl w:ilvl="4">
      <w:start w:val="1"/>
      <w:numFmt w:val="decimal"/>
      <w:lvlText w:val="%1.%2.%3.%4.%5."/>
      <w:lvlJc w:val="left"/>
      <w:pPr>
        <w:ind w:left="3352" w:hanging="1080"/>
      </w:pPr>
      <w:rPr>
        <w:b w:val="0"/>
      </w:rPr>
    </w:lvl>
    <w:lvl w:ilvl="5">
      <w:start w:val="1"/>
      <w:numFmt w:val="decimal"/>
      <w:lvlText w:val="%1.%2.%3.%4.%5.%6."/>
      <w:lvlJc w:val="left"/>
      <w:pPr>
        <w:ind w:left="4280" w:hanging="1440"/>
      </w:pPr>
      <w:rPr>
        <w:b w:val="0"/>
      </w:rPr>
    </w:lvl>
    <w:lvl w:ilvl="6">
      <w:start w:val="1"/>
      <w:numFmt w:val="decimal"/>
      <w:lvlText w:val="%1.%2.%3.%4.%5.%6.%7."/>
      <w:lvlJc w:val="left"/>
      <w:pPr>
        <w:ind w:left="4848" w:hanging="1440"/>
      </w:pPr>
      <w:rPr>
        <w:b w:val="0"/>
      </w:rPr>
    </w:lvl>
    <w:lvl w:ilvl="7">
      <w:start w:val="1"/>
      <w:numFmt w:val="decimal"/>
      <w:lvlText w:val="%1.%2.%3.%4.%5.%6.%7.%8."/>
      <w:lvlJc w:val="left"/>
      <w:pPr>
        <w:ind w:left="5776" w:hanging="1800"/>
      </w:pPr>
      <w:rPr>
        <w:b w:val="0"/>
      </w:rPr>
    </w:lvl>
    <w:lvl w:ilvl="8">
      <w:start w:val="1"/>
      <w:numFmt w:val="decimal"/>
      <w:lvlText w:val="%1.%2.%3.%4.%5.%6.%7.%8.%9."/>
      <w:lvlJc w:val="left"/>
      <w:pPr>
        <w:ind w:left="6344" w:hanging="1800"/>
      </w:pPr>
      <w:rPr>
        <w:b w:val="0"/>
      </w:rPr>
    </w:lvl>
  </w:abstractNum>
  <w:abstractNum w:abstractNumId="34" w15:restartNumberingAfterBreak="0">
    <w:nsid w:val="781C2C64"/>
    <w:multiLevelType w:val="hybridMultilevel"/>
    <w:tmpl w:val="A4947382"/>
    <w:lvl w:ilvl="0" w:tplc="AE9076A0">
      <w:start w:val="1"/>
      <w:numFmt w:val="lowerLetter"/>
      <w:lvlText w:val="%1."/>
      <w:lvlJc w:val="left"/>
      <w:pPr>
        <w:ind w:left="2160" w:hanging="360"/>
      </w:pPr>
      <w:rPr>
        <w:b w:val="0"/>
      </w:rPr>
    </w:lvl>
    <w:lvl w:ilvl="1" w:tplc="34090019" w:tentative="1">
      <w:start w:val="1"/>
      <w:numFmt w:val="lowerLetter"/>
      <w:lvlText w:val="%2."/>
      <w:lvlJc w:val="left"/>
      <w:pPr>
        <w:ind w:left="2880" w:hanging="360"/>
      </w:p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13"/>
  </w:num>
  <w:num w:numId="11">
    <w:abstractNumId w:val="2"/>
  </w:num>
  <w:num w:numId="12">
    <w:abstractNumId w:val="15"/>
  </w:num>
  <w:num w:numId="13">
    <w:abstractNumId w:val="3"/>
  </w:num>
  <w:num w:numId="14">
    <w:abstractNumId w:val="1"/>
  </w:num>
  <w:num w:numId="15">
    <w:abstractNumId w:val="19"/>
  </w:num>
  <w:num w:numId="16">
    <w:abstractNumId w:val="30"/>
  </w:num>
  <w:num w:numId="17">
    <w:abstractNumId w:val="34"/>
  </w:num>
  <w:num w:numId="18">
    <w:abstractNumId w:val="21"/>
  </w:num>
  <w:num w:numId="19">
    <w:abstractNumId w:val="4"/>
  </w:num>
  <w:num w:numId="20">
    <w:abstractNumId w:val="24"/>
  </w:num>
  <w:num w:numId="21">
    <w:abstractNumId w:val="22"/>
  </w:num>
  <w:num w:numId="22">
    <w:abstractNumId w:val="0"/>
  </w:num>
  <w:num w:numId="23">
    <w:abstractNumId w:val="10"/>
  </w:num>
  <w:num w:numId="24">
    <w:abstractNumId w:val="32"/>
  </w:num>
  <w:num w:numId="25">
    <w:abstractNumId w:val="29"/>
  </w:num>
  <w:num w:numId="26">
    <w:abstractNumId w:val="16"/>
  </w:num>
  <w:num w:numId="27">
    <w:abstractNumId w:val="14"/>
  </w:num>
  <w:num w:numId="28">
    <w:abstractNumId w:val="5"/>
  </w:num>
  <w:num w:numId="29">
    <w:abstractNumId w:val="17"/>
  </w:num>
  <w:num w:numId="30">
    <w:abstractNumId w:val="28"/>
  </w:num>
  <w:num w:numId="31">
    <w:abstractNumId w:val="10"/>
    <w:lvlOverride w:ilvl="0">
      <w:lvl w:ilvl="0">
        <w:start w:val="1"/>
        <w:numFmt w:val="decimal"/>
        <w:lvlText w:val="%1."/>
        <w:lvlJc w:val="left"/>
        <w:pPr>
          <w:ind w:left="360" w:hanging="360"/>
        </w:pPr>
        <w:rPr>
          <w:rFonts w:hint="default"/>
          <w:b/>
          <w:i w:val="0"/>
          <w:color w:val="auto"/>
          <w:sz w:val="22"/>
          <w:szCs w:val="22"/>
        </w:rPr>
      </w:lvl>
    </w:lvlOverride>
    <w:lvlOverride w:ilvl="1">
      <w:lvl w:ilvl="1">
        <w:start w:val="1"/>
        <w:numFmt w:val="decimal"/>
        <w:lvlText w:val="%1.%2."/>
        <w:lvlJc w:val="left"/>
        <w:pPr>
          <w:ind w:left="972" w:hanging="432"/>
        </w:pPr>
        <w:rPr>
          <w:rFonts w:ascii="Arial" w:hAnsi="Arial" w:cs="Arial" w:hint="default"/>
          <w:b/>
          <w:i w:val="0"/>
          <w:color w:val="auto"/>
          <w:sz w:val="22"/>
          <w:szCs w:val="22"/>
        </w:rPr>
      </w:lvl>
    </w:lvlOverride>
    <w:lvlOverride w:ilvl="2">
      <w:lvl w:ilvl="2">
        <w:start w:val="1"/>
        <w:numFmt w:val="lowerLetter"/>
        <w:lvlText w:val="%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8"/>
  </w:num>
  <w:num w:numId="33">
    <w:abstractNumId w:val="23"/>
  </w:num>
  <w:num w:numId="34">
    <w:abstractNumId w:val="27"/>
  </w:num>
  <w:num w:numId="35">
    <w:abstractNumId w:val="12"/>
  </w:num>
  <w:num w:numId="36">
    <w:abstractNumId w:val="20"/>
  </w:num>
  <w:num w:numId="37">
    <w:abstractNumId w:val="10"/>
    <w:lvlOverride w:ilvl="0">
      <w:lvl w:ilvl="0">
        <w:start w:val="1"/>
        <w:numFmt w:val="decimal"/>
        <w:lvlText w:val="%1."/>
        <w:lvlJc w:val="left"/>
        <w:pPr>
          <w:ind w:left="360" w:hanging="360"/>
        </w:pPr>
        <w:rPr>
          <w:rFonts w:hint="default"/>
          <w:b/>
          <w:i w:val="0"/>
          <w:color w:val="auto"/>
          <w:sz w:val="22"/>
          <w:szCs w:val="22"/>
        </w:rPr>
      </w:lvl>
    </w:lvlOverride>
    <w:lvlOverride w:ilvl="1">
      <w:lvl w:ilvl="1">
        <w:start w:val="1"/>
        <w:numFmt w:val="decimal"/>
        <w:lvlText w:val="%1.%2."/>
        <w:lvlJc w:val="left"/>
        <w:pPr>
          <w:ind w:left="720" w:hanging="360"/>
        </w:pPr>
        <w:rPr>
          <w:rFonts w:ascii="Arial" w:hAnsi="Arial" w:cs="Arial" w:hint="default"/>
          <w:b/>
          <w:i w:val="0"/>
          <w:color w:val="auto"/>
          <w:sz w:val="22"/>
          <w:szCs w:val="22"/>
        </w:rPr>
      </w:lvl>
    </w:lvlOverride>
    <w:lvlOverride w:ilvl="2">
      <w:lvl w:ilvl="2">
        <w:start w:val="1"/>
        <w:numFmt w:val="lowerLetter"/>
        <w:lvlText w:val="%3."/>
        <w:lvlJc w:val="left"/>
        <w:pPr>
          <w:ind w:left="1080" w:hanging="360"/>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8">
    <w:abstractNumId w:val="11"/>
  </w:num>
  <w:num w:numId="3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1" w:cryptProviderType="rsaAES" w:cryptAlgorithmClass="hash" w:cryptAlgorithmType="typeAny" w:cryptAlgorithmSid="14" w:cryptSpinCount="100000" w:hash="b9ZgNgJi6ozABfCn9EjqFDz2xLs7i5BOgjGkTzO26xv2qR4WsNi32QACGYkWMb9UkdeWfWoon8J/3yowA8dLDA==" w:salt="3XK8xrroR6M/mDPDkrJCig=="/>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2D075F-C2D3-4104-B80D-7E65AD5FB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spacing w:after="0" w:line="240" w:lineRule="auto"/>
      <w:jc w:val="center"/>
    </w:pPr>
    <w:rPr>
      <w:rFonts w:ascii="Times New Roman" w:eastAsia="Times New Roman" w:hAnsi="Times New Roman"/>
      <w:b/>
      <w:sz w:val="24"/>
      <w:szCs w:val="20"/>
      <w:lang w:val="en-US"/>
    </w:rPr>
  </w:style>
  <w:style w:type="character" w:customStyle="1" w:styleId="TitleChar">
    <w:name w:val="Title Char"/>
    <w:basedOn w:val="DefaultParagraphFont"/>
    <w:link w:val="Title"/>
    <w:rPr>
      <w:rFonts w:ascii="Times New Roman" w:eastAsia="Times New Roman" w:hAnsi="Times New Roman" w:cs="Times New Roman"/>
      <w:b/>
      <w:sz w:val="24"/>
      <w:szCs w:val="20"/>
      <w:lang w:val="en-US"/>
    </w:rPr>
  </w:style>
  <w:style w:type="character" w:customStyle="1" w:styleId="NoSpacingChar">
    <w:name w:val="No Spacing Char"/>
    <w:link w:val="NoSpacing"/>
    <w:locked/>
    <w:rPr>
      <w:lang w:eastAsia="ar-SA"/>
    </w:rPr>
  </w:style>
  <w:style w:type="paragraph" w:styleId="NoSpacing">
    <w:name w:val="No Spacing"/>
    <w:link w:val="NoSpacingChar"/>
    <w:qFormat/>
    <w:pPr>
      <w:suppressAutoHyphens/>
      <w:spacing w:after="0" w:line="240" w:lineRule="auto"/>
    </w:pPr>
    <w:rPr>
      <w:lang w:eastAsia="ar-SA"/>
    </w:rPr>
  </w:style>
  <w:style w:type="character" w:customStyle="1" w:styleId="ListParagraphChar">
    <w:name w:val="List Paragraph Char"/>
    <w:aliases w:val="Resume Title Char,List Paragraph1 Char,Colorful List - Accent 11 Char"/>
    <w:link w:val="ListParagraph"/>
    <w:uiPriority w:val="34"/>
    <w:qFormat/>
    <w:locked/>
    <w:rPr>
      <w:rFonts w:ascii="Times New Roman" w:eastAsia="Times New Roman" w:hAnsi="Times New Roman" w:cs="Times New Roman"/>
      <w:sz w:val="24"/>
      <w:szCs w:val="24"/>
    </w:rPr>
  </w:style>
  <w:style w:type="paragraph" w:styleId="ListParagraph">
    <w:name w:val="List Paragraph"/>
    <w:aliases w:val="Resume Title,List Paragraph1,Colorful List - Accent 11"/>
    <w:basedOn w:val="Normal"/>
    <w:link w:val="ListParagraphChar"/>
    <w:uiPriority w:val="34"/>
    <w:qFormat/>
    <w:pPr>
      <w:spacing w:after="0" w:line="240" w:lineRule="auto"/>
      <w:ind w:left="720"/>
    </w:pPr>
    <w:rPr>
      <w:rFonts w:ascii="Times New Roman" w:eastAsia="Times New Roman" w:hAnsi="Times New Roman"/>
      <w:sz w:val="24"/>
      <w:szCs w:val="24"/>
    </w:rPr>
  </w:style>
  <w:style w:type="table" w:styleId="TableGrid">
    <w:name w:val="Table Grid"/>
    <w:basedOn w:val="TableNormal"/>
    <w:uiPriority w:val="39"/>
    <w:pPr>
      <w:spacing w:after="0" w:line="240" w:lineRule="auto"/>
    </w:pPr>
    <w:rPr>
      <w:rFonts w:ascii="Calibri" w:eastAsia="Calibri" w:hAnsi="Calibri"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rFonts w:ascii="Calibri" w:eastAsia="Calibri" w:hAnsi="Calibri" w:cs="Times New Roman"/>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rFonts w:ascii="Calibri" w:eastAsia="Calibri" w:hAnsi="Calibri" w:cs="Times New Roman"/>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9919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359</TotalTime>
  <Pages>7</Pages>
  <Words>2699</Words>
  <Characters>15388</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Executive Summary</vt:lpstr>
    </vt:vector>
  </TitlesOfParts>
  <Company/>
  <LinksUpToDate>false</LinksUpToDate>
  <CharactersWithSpaces>18051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Executive Summary</dc:title>
  <dc:subject/>
  <dc:creator>COA - Philippine Charity Sweepstakes Office</dc:creator>
  <cp:keywords/>
  <dc:description/>
  <cp:lastModifiedBy>Ben A. Lazo, Jr.</cp:lastModifiedBy>
  <cp:revision>45</cp:revision>
  <cp:lastPrinted>2022-07-17T01:12:00Z</cp:lastPrinted>
  <dcterms:created xsi:type="dcterms:W3CDTF">2022-06-15T08:22:00Z</dcterms:created>
  <dcterms:modified xsi:type="dcterms:W3CDTF">2022-07-21T01:31:00Z</dcterms:modified>
</cp:coreProperties>
</file>