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EXECUTIVE SUMMARY</w:t>
      </w:r>
    </w:p>
    <w:p>
      <w:pPr>
        <w:spacing w:after="0" w:line="240" w:lineRule="auto"/>
        <w:rPr>
          <w:rFonts w:ascii="Arial" w:hAnsi="Arial" w:cs="Arial"/>
          <w:b/>
          <w:sz w:val="20"/>
          <w:szCs w:val="20"/>
        </w:rPr>
      </w:pPr>
    </w:p>
    <w:p>
      <w:pPr>
        <w:spacing w:after="0" w:line="240" w:lineRule="auto"/>
        <w:rPr>
          <w:rFonts w:ascii="Arial" w:hAnsi="Arial" w:cs="Arial"/>
          <w:b/>
          <w:sz w:val="20"/>
          <w:szCs w:val="20"/>
        </w:rPr>
      </w:pPr>
    </w:p>
    <w:p>
      <w:pPr>
        <w:spacing w:after="0" w:line="240" w:lineRule="auto"/>
        <w:rPr>
          <w:rFonts w:ascii="Arial" w:hAnsi="Arial" w:cs="Arial"/>
          <w:b/>
        </w:rPr>
      </w:pPr>
      <w:r>
        <w:rPr>
          <w:rFonts w:ascii="Arial" w:hAnsi="Arial" w:cs="Arial"/>
          <w:b/>
        </w:rPr>
        <w:t>INTRODUCTION</w:t>
      </w:r>
    </w:p>
    <w:p>
      <w:pPr>
        <w:pStyle w:val="ListParagraph"/>
        <w:ind w:left="0" w:firstLine="720"/>
        <w:jc w:val="both"/>
        <w:rPr>
          <w:rFonts w:ascii="Arial" w:eastAsia="Calibri" w:hAnsi="Arial" w:cs="Arial"/>
          <w:sz w:val="20"/>
          <w:szCs w:val="20"/>
        </w:rPr>
      </w:pPr>
    </w:p>
    <w:p>
      <w:pPr>
        <w:spacing w:after="0" w:line="240" w:lineRule="auto"/>
        <w:jc w:val="both"/>
        <w:rPr>
          <w:rFonts w:ascii="Arial" w:hAnsi="Arial" w:cs="Arial"/>
        </w:rPr>
      </w:pPr>
      <w:r>
        <w:rPr>
          <w:rFonts w:ascii="Arial" w:hAnsi="Arial" w:cs="Arial"/>
        </w:rPr>
        <w:t xml:space="preserve">The Philippine Charity Sweepstakes Office (PCSO) is the principal government agency for raising and providing funds for health programs, medical assistance and services, and charities of national character.  It was created under Philippine Legislature Act No. 4130 on October 30, 1934 and later amended by Republic Act (RA) No. 1169 in 1954 and Batas Pambansa Blg. 42 on September 24, 1979.  </w:t>
      </w:r>
    </w:p>
    <w:p>
      <w:pPr>
        <w:spacing w:after="0" w:line="240" w:lineRule="auto"/>
        <w:rPr>
          <w:rFonts w:ascii="Arial" w:hAnsi="Arial" w:cs="Arial"/>
          <w:sz w:val="20"/>
          <w:szCs w:val="20"/>
        </w:rPr>
      </w:pPr>
    </w:p>
    <w:p>
      <w:pPr>
        <w:spacing w:after="0" w:line="240" w:lineRule="auto"/>
        <w:jc w:val="both"/>
        <w:rPr>
          <w:rFonts w:ascii="Arial" w:hAnsi="Arial" w:cs="Arial"/>
        </w:rPr>
      </w:pPr>
      <w:r>
        <w:rPr>
          <w:rFonts w:ascii="Arial" w:hAnsi="Arial" w:cs="Arial"/>
        </w:rPr>
        <w:t xml:space="preserve">The main programs of the PCSO consist of endowment fund/quality health care, individual medical assistance, community outreach, ambulance donation, national calamity and disaster program, and hospital renovation and improvement of health care facilities. It also gives mandatory contributions to various agencies and institutions and extends regular contributions to charitable institutions engaged in giving welfare services to the children and youth who are either abandoned or exploited, the elderly, and the physically and mentally handicapped, among others. </w:t>
      </w:r>
    </w:p>
    <w:p>
      <w:pPr>
        <w:spacing w:after="0" w:line="240" w:lineRule="auto"/>
        <w:jc w:val="both"/>
        <w:rPr>
          <w:rFonts w:ascii="Arial" w:hAnsi="Arial" w:cs="Arial"/>
        </w:rPr>
      </w:pPr>
    </w:p>
    <w:p>
      <w:pPr>
        <w:spacing w:after="0" w:line="240" w:lineRule="auto"/>
        <w:jc w:val="both"/>
        <w:rPr>
          <w:rFonts w:ascii="Arial" w:hAnsi="Arial" w:cs="Arial"/>
        </w:rPr>
      </w:pPr>
      <w:r>
        <w:rPr>
          <w:rFonts w:ascii="Arial" w:hAnsi="Arial" w:cs="Arial"/>
        </w:rPr>
        <w:t>The PCSO holds and conducts charity sweepstakes, races and lotteries and engages in health and welfare-related investments, projects, and activities to provide for permanent and continuing sources of funds for its programs. Other activities to enhance and expand such fund-generating operations as well as strengthen its fund-management capabilities are also being undertaken by the Agency.</w:t>
      </w:r>
    </w:p>
    <w:p>
      <w:pPr>
        <w:spacing w:after="0" w:line="240" w:lineRule="auto"/>
        <w:rPr>
          <w:rFonts w:ascii="Arial" w:hAnsi="Arial" w:cs="Arial"/>
          <w:sz w:val="20"/>
          <w:szCs w:val="20"/>
        </w:rPr>
      </w:pPr>
    </w:p>
    <w:p>
      <w:pPr>
        <w:spacing w:after="0" w:line="240" w:lineRule="auto"/>
        <w:jc w:val="both"/>
        <w:rPr>
          <w:rFonts w:ascii="Arial" w:hAnsi="Arial" w:cs="Arial"/>
        </w:rPr>
      </w:pPr>
      <w:r>
        <w:rPr>
          <w:rFonts w:ascii="Arial" w:hAnsi="Arial" w:cs="Arial"/>
        </w:rPr>
        <w:lastRenderedPageBreak/>
        <w:t xml:space="preserve">As of December 31, 2020, the Board of Directors (BOD) of the PCSO is composed of the following: </w:t>
      </w:r>
    </w:p>
    <w:p>
      <w:pPr>
        <w:spacing w:after="0" w:line="240" w:lineRule="auto"/>
        <w:jc w:val="both"/>
        <w:rPr>
          <w:rFonts w:ascii="Arial" w:hAnsi="Arial" w:cs="Arial"/>
          <w:sz w:val="20"/>
          <w:szCs w:val="20"/>
        </w:rPr>
      </w:pPr>
    </w:p>
    <w:p>
      <w:pPr>
        <w:spacing w:after="0" w:line="240" w:lineRule="auto"/>
        <w:ind w:firstLine="720"/>
        <w:jc w:val="both"/>
        <w:rPr>
          <w:rFonts w:ascii="Arial" w:hAnsi="Arial" w:cs="Arial"/>
        </w:rPr>
      </w:pPr>
      <w:r>
        <w:rPr>
          <w:rFonts w:ascii="Arial" w:hAnsi="Arial" w:cs="Arial"/>
        </w:rPr>
        <w:t xml:space="preserve">Anselmo Simeon P. Pinili </w:t>
      </w:r>
      <w:r>
        <w:rPr>
          <w:rFonts w:ascii="Arial" w:hAnsi="Arial" w:cs="Arial"/>
        </w:rPr>
        <w:tab/>
        <w:t xml:space="preserve">- </w:t>
      </w:r>
      <w:r>
        <w:rPr>
          <w:rFonts w:ascii="Arial" w:hAnsi="Arial" w:cs="Arial"/>
        </w:rPr>
        <w:tab/>
        <w:t>Chairman</w:t>
      </w:r>
    </w:p>
    <w:p>
      <w:pPr>
        <w:spacing w:after="0" w:line="240" w:lineRule="auto"/>
        <w:ind w:left="720"/>
        <w:jc w:val="both"/>
        <w:rPr>
          <w:rFonts w:ascii="Arial" w:hAnsi="Arial" w:cs="Arial"/>
        </w:rPr>
      </w:pPr>
      <w:r>
        <w:rPr>
          <w:rFonts w:ascii="Arial" w:hAnsi="Arial" w:cs="Arial"/>
        </w:rPr>
        <w:t>Royina M. Garma</w:t>
      </w:r>
      <w:r>
        <w:rPr>
          <w:rFonts w:ascii="Arial" w:hAnsi="Arial" w:cs="Arial"/>
        </w:rPr>
        <w:tab/>
      </w:r>
      <w:r>
        <w:rPr>
          <w:rFonts w:ascii="Arial" w:hAnsi="Arial" w:cs="Arial"/>
        </w:rPr>
        <w:tab/>
        <w:t>-</w:t>
      </w:r>
      <w:r>
        <w:rPr>
          <w:rFonts w:ascii="Arial" w:hAnsi="Arial" w:cs="Arial"/>
        </w:rPr>
        <w:tab/>
        <w:t xml:space="preserve">Vice-Chairman and General Manager </w:t>
      </w:r>
    </w:p>
    <w:p>
      <w:pPr>
        <w:spacing w:after="0" w:line="240" w:lineRule="auto"/>
        <w:ind w:left="720"/>
        <w:jc w:val="both"/>
        <w:rPr>
          <w:rFonts w:ascii="Arial" w:hAnsi="Arial" w:cs="Arial"/>
        </w:rPr>
      </w:pPr>
      <w:r>
        <w:rPr>
          <w:rFonts w:ascii="Arial" w:hAnsi="Arial" w:cs="Arial"/>
        </w:rPr>
        <w:t xml:space="preserve">Marlon U. Balite </w:t>
      </w:r>
      <w:r>
        <w:rPr>
          <w:rFonts w:ascii="Arial" w:hAnsi="Arial" w:cs="Arial"/>
        </w:rPr>
        <w:tab/>
      </w:r>
      <w:r>
        <w:rPr>
          <w:rFonts w:ascii="Arial" w:hAnsi="Arial" w:cs="Arial"/>
        </w:rPr>
        <w:tab/>
        <w:t xml:space="preserve">- </w:t>
      </w:r>
      <w:r>
        <w:rPr>
          <w:rFonts w:ascii="Arial" w:hAnsi="Arial" w:cs="Arial"/>
        </w:rPr>
        <w:tab/>
        <w:t>Member</w:t>
      </w:r>
    </w:p>
    <w:p>
      <w:pPr>
        <w:spacing w:after="0" w:line="240" w:lineRule="auto"/>
        <w:ind w:left="720"/>
        <w:jc w:val="both"/>
        <w:rPr>
          <w:rFonts w:ascii="Arial" w:hAnsi="Arial" w:cs="Arial"/>
        </w:rPr>
      </w:pPr>
      <w:r>
        <w:rPr>
          <w:rFonts w:ascii="Arial" w:hAnsi="Arial" w:cs="Arial"/>
        </w:rPr>
        <w:t xml:space="preserve">Sandra M. Cam </w:t>
      </w:r>
      <w:r>
        <w:rPr>
          <w:rFonts w:ascii="Arial" w:hAnsi="Arial" w:cs="Arial"/>
        </w:rPr>
        <w:tab/>
      </w:r>
      <w:r>
        <w:rPr>
          <w:rFonts w:ascii="Arial" w:hAnsi="Arial" w:cs="Arial"/>
        </w:rPr>
        <w:tab/>
        <w:t>-</w:t>
      </w:r>
      <w:r>
        <w:rPr>
          <w:rFonts w:ascii="Arial" w:hAnsi="Arial" w:cs="Arial"/>
        </w:rPr>
        <w:tab/>
        <w:t xml:space="preserve">Member </w:t>
      </w:r>
    </w:p>
    <w:p>
      <w:pPr>
        <w:spacing w:after="0" w:line="240" w:lineRule="auto"/>
        <w:ind w:left="720"/>
        <w:jc w:val="both"/>
        <w:rPr>
          <w:rFonts w:ascii="Arial" w:hAnsi="Arial" w:cs="Arial"/>
        </w:rPr>
      </w:pPr>
      <w:r>
        <w:rPr>
          <w:rFonts w:ascii="Arial" w:hAnsi="Arial" w:cs="Arial"/>
        </w:rPr>
        <w:t>Ramon Ike V. Seῆeres</w:t>
      </w:r>
      <w:r>
        <w:rPr>
          <w:rFonts w:ascii="Arial" w:hAnsi="Arial" w:cs="Arial"/>
        </w:rPr>
        <w:tab/>
        <w:t>-</w:t>
      </w:r>
      <w:r>
        <w:rPr>
          <w:rFonts w:ascii="Arial" w:hAnsi="Arial" w:cs="Arial"/>
        </w:rPr>
        <w:tab/>
        <w:t>Member</w:t>
      </w:r>
    </w:p>
    <w:p>
      <w:pPr>
        <w:spacing w:after="0" w:line="240" w:lineRule="auto"/>
        <w:ind w:left="720"/>
        <w:jc w:val="both"/>
        <w:rPr>
          <w:rFonts w:ascii="Arial" w:hAnsi="Arial" w:cs="Arial"/>
        </w:rPr>
      </w:pPr>
      <w:r>
        <w:rPr>
          <w:rFonts w:ascii="Arial" w:hAnsi="Arial" w:cs="Arial"/>
        </w:rPr>
        <w:t>Atty. Benedicto M. Jose</w:t>
      </w:r>
      <w:r>
        <w:rPr>
          <w:rFonts w:ascii="Arial" w:hAnsi="Arial" w:cs="Arial"/>
        </w:rPr>
        <w:tab/>
        <w:t xml:space="preserve">-   </w:t>
      </w:r>
      <w:r>
        <w:rPr>
          <w:rFonts w:ascii="Arial" w:hAnsi="Arial" w:cs="Arial"/>
        </w:rPr>
        <w:tab/>
        <w:t>Board Secretary</w:t>
      </w:r>
    </w:p>
    <w:p>
      <w:pPr>
        <w:spacing w:after="0" w:line="240" w:lineRule="auto"/>
        <w:jc w:val="both"/>
        <w:rPr>
          <w:rFonts w:ascii="Arial" w:hAnsi="Arial" w:cs="Arial"/>
          <w:sz w:val="20"/>
          <w:szCs w:val="20"/>
        </w:rPr>
      </w:pPr>
    </w:p>
    <w:p>
      <w:pPr>
        <w:spacing w:after="0" w:line="240" w:lineRule="auto"/>
        <w:jc w:val="both"/>
        <w:rPr>
          <w:rFonts w:ascii="Arial" w:hAnsi="Arial" w:cs="Arial"/>
          <w:b/>
        </w:rPr>
      </w:pPr>
      <w:r>
        <w:rPr>
          <w:rFonts w:ascii="Arial" w:hAnsi="Arial" w:cs="Arial"/>
        </w:rPr>
        <w:t xml:space="preserve">The total manpower complement of the PCSO as of December 31, 2020 is 1,501, broken down as follows:  </w:t>
      </w:r>
    </w:p>
    <w:p>
      <w:pPr>
        <w:spacing w:after="0" w:line="240" w:lineRule="auto"/>
        <w:ind w:firstLine="720"/>
        <w:jc w:val="both"/>
        <w:rPr>
          <w:rFonts w:ascii="Arial" w:hAnsi="Arial" w:cs="Arial"/>
          <w:sz w:val="20"/>
          <w:szCs w:val="20"/>
        </w:rPr>
      </w:pPr>
    </w:p>
    <w:tbl>
      <w:tblPr>
        <w:tblStyle w:val="TableGrid"/>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2130"/>
        <w:gridCol w:w="1957"/>
        <w:gridCol w:w="1688"/>
      </w:tblGrid>
      <w:tr>
        <w:tc>
          <w:tcPr>
            <w:tcW w:w="2757" w:type="dxa"/>
            <w:tcBorders>
              <w:top w:val="single" w:sz="4" w:space="0" w:color="auto"/>
              <w:left w:val="nil"/>
              <w:bottom w:val="single" w:sz="4" w:space="0" w:color="auto"/>
              <w:right w:val="nil"/>
            </w:tcBorders>
            <w:vAlign w:val="center"/>
            <w:hideMark/>
          </w:tcPr>
          <w:p>
            <w:pPr>
              <w:spacing w:after="0" w:line="240" w:lineRule="auto"/>
              <w:ind w:hanging="107"/>
              <w:rPr>
                <w:rFonts w:ascii="Arial Narrow" w:hAnsi="Arial Narrow" w:cs="Arial"/>
                <w:b/>
                <w:bCs/>
                <w:lang w:eastAsia="en-PH"/>
              </w:rPr>
            </w:pPr>
            <w:r>
              <w:rPr>
                <w:rFonts w:ascii="Arial Narrow" w:hAnsi="Arial Narrow" w:cs="Arial"/>
                <w:b/>
                <w:bCs/>
                <w:lang w:eastAsia="en-PH"/>
              </w:rPr>
              <w:t>Particulars</w:t>
            </w:r>
          </w:p>
        </w:tc>
        <w:tc>
          <w:tcPr>
            <w:tcW w:w="2130" w:type="dxa"/>
            <w:tcBorders>
              <w:top w:val="single" w:sz="4" w:space="0" w:color="auto"/>
              <w:left w:val="nil"/>
              <w:bottom w:val="single" w:sz="4" w:space="0" w:color="auto"/>
              <w:right w:val="nil"/>
            </w:tcBorders>
            <w:vAlign w:val="center"/>
            <w:hideMark/>
          </w:tcPr>
          <w:p>
            <w:pPr>
              <w:spacing w:after="0" w:line="240" w:lineRule="auto"/>
              <w:jc w:val="right"/>
              <w:rPr>
                <w:rFonts w:ascii="Arial Narrow" w:hAnsi="Arial Narrow" w:cs="Arial"/>
                <w:b/>
                <w:bCs/>
                <w:lang w:eastAsia="en-PH"/>
              </w:rPr>
            </w:pPr>
            <w:r>
              <w:rPr>
                <w:rFonts w:ascii="Arial Narrow" w:hAnsi="Arial Narrow" w:cs="Arial"/>
                <w:b/>
                <w:bCs/>
                <w:lang w:eastAsia="en-PH"/>
              </w:rPr>
              <w:t>Head Office</w:t>
            </w:r>
          </w:p>
        </w:tc>
        <w:tc>
          <w:tcPr>
            <w:tcW w:w="1957" w:type="dxa"/>
            <w:tcBorders>
              <w:top w:val="single" w:sz="4" w:space="0" w:color="auto"/>
              <w:left w:val="nil"/>
              <w:bottom w:val="single" w:sz="4" w:space="0" w:color="auto"/>
              <w:right w:val="nil"/>
            </w:tcBorders>
            <w:vAlign w:val="center"/>
            <w:hideMark/>
          </w:tcPr>
          <w:p>
            <w:pPr>
              <w:spacing w:after="0" w:line="240" w:lineRule="auto"/>
              <w:jc w:val="right"/>
              <w:rPr>
                <w:rFonts w:ascii="Arial Narrow" w:hAnsi="Arial Narrow" w:cs="Arial"/>
                <w:b/>
                <w:bCs/>
                <w:lang w:eastAsia="en-PH"/>
              </w:rPr>
            </w:pPr>
            <w:r>
              <w:rPr>
                <w:rFonts w:ascii="Arial Narrow" w:hAnsi="Arial Narrow" w:cs="Arial"/>
                <w:b/>
                <w:bCs/>
                <w:lang w:eastAsia="en-PH"/>
              </w:rPr>
              <w:t>Branch Offices</w:t>
            </w:r>
          </w:p>
        </w:tc>
        <w:tc>
          <w:tcPr>
            <w:tcW w:w="1688" w:type="dxa"/>
            <w:tcBorders>
              <w:top w:val="single" w:sz="4" w:space="0" w:color="auto"/>
              <w:left w:val="nil"/>
              <w:bottom w:val="single" w:sz="4" w:space="0" w:color="auto"/>
              <w:right w:val="nil"/>
            </w:tcBorders>
            <w:vAlign w:val="center"/>
            <w:hideMark/>
          </w:tcPr>
          <w:p>
            <w:pPr>
              <w:spacing w:after="0" w:line="240" w:lineRule="auto"/>
              <w:ind w:right="-79"/>
              <w:jc w:val="right"/>
              <w:rPr>
                <w:rFonts w:ascii="Arial Narrow" w:hAnsi="Arial Narrow" w:cs="Arial"/>
                <w:b/>
                <w:bCs/>
                <w:lang w:eastAsia="en-PH"/>
              </w:rPr>
            </w:pPr>
            <w:r>
              <w:rPr>
                <w:rFonts w:ascii="Arial Narrow" w:hAnsi="Arial Narrow" w:cs="Arial"/>
                <w:b/>
                <w:bCs/>
                <w:lang w:eastAsia="en-PH"/>
              </w:rPr>
              <w:t>Total</w:t>
            </w:r>
          </w:p>
        </w:tc>
      </w:tr>
      <w:tr>
        <w:tc>
          <w:tcPr>
            <w:tcW w:w="2757" w:type="dxa"/>
            <w:tcBorders>
              <w:top w:val="single" w:sz="4" w:space="0" w:color="auto"/>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Permanent employees</w:t>
            </w:r>
          </w:p>
        </w:tc>
        <w:tc>
          <w:tcPr>
            <w:tcW w:w="2130"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554</w:t>
            </w:r>
          </w:p>
        </w:tc>
        <w:tc>
          <w:tcPr>
            <w:tcW w:w="1957"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492</w:t>
            </w:r>
          </w:p>
        </w:tc>
        <w:tc>
          <w:tcPr>
            <w:tcW w:w="1688" w:type="dxa"/>
            <w:tcBorders>
              <w:top w:val="single" w:sz="4" w:space="0" w:color="auto"/>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1,046</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Co-terminous</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54</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2</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56</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Confidential agents</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93</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59</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152</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Consultants</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33</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0</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33</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Contract of service</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1</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0</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1</w:t>
            </w:r>
          </w:p>
        </w:tc>
      </w:tr>
      <w:tr>
        <w:tc>
          <w:tcPr>
            <w:tcW w:w="2757" w:type="dxa"/>
            <w:tcBorders>
              <w:top w:val="nil"/>
              <w:left w:val="nil"/>
              <w:bottom w:val="single" w:sz="4" w:space="0" w:color="auto"/>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Job order</w:t>
            </w:r>
          </w:p>
        </w:tc>
        <w:tc>
          <w:tcPr>
            <w:tcW w:w="2130" w:type="dxa"/>
            <w:tcBorders>
              <w:top w:val="nil"/>
              <w:left w:val="nil"/>
              <w:bottom w:val="single" w:sz="4" w:space="0" w:color="auto"/>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162</w:t>
            </w:r>
          </w:p>
        </w:tc>
        <w:tc>
          <w:tcPr>
            <w:tcW w:w="1957" w:type="dxa"/>
            <w:tcBorders>
              <w:top w:val="nil"/>
              <w:left w:val="nil"/>
              <w:bottom w:val="single" w:sz="4" w:space="0" w:color="auto"/>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51</w:t>
            </w:r>
          </w:p>
        </w:tc>
        <w:tc>
          <w:tcPr>
            <w:tcW w:w="1688" w:type="dxa"/>
            <w:tcBorders>
              <w:top w:val="nil"/>
              <w:left w:val="nil"/>
              <w:bottom w:val="single" w:sz="4" w:space="0" w:color="auto"/>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213</w:t>
            </w:r>
          </w:p>
        </w:tc>
      </w:tr>
      <w:tr>
        <w:tc>
          <w:tcPr>
            <w:tcW w:w="2757" w:type="dxa"/>
            <w:tcBorders>
              <w:top w:val="single" w:sz="4" w:space="0" w:color="auto"/>
              <w:left w:val="nil"/>
              <w:bottom w:val="double" w:sz="4" w:space="0" w:color="auto"/>
              <w:right w:val="nil"/>
            </w:tcBorders>
            <w:vAlign w:val="bottom"/>
            <w:hideMark/>
          </w:tcPr>
          <w:p>
            <w:pPr>
              <w:spacing w:after="0" w:line="240" w:lineRule="auto"/>
              <w:ind w:hanging="107"/>
              <w:rPr>
                <w:rFonts w:ascii="Arial Narrow" w:hAnsi="Arial Narrow" w:cs="Arial"/>
                <w:b/>
                <w:bCs/>
                <w:lang w:eastAsia="en-PH"/>
              </w:rPr>
            </w:pPr>
            <w:r>
              <w:rPr>
                <w:rFonts w:ascii="Arial Narrow" w:hAnsi="Arial Narrow" w:cs="Arial"/>
                <w:b/>
                <w:bCs/>
                <w:lang w:eastAsia="en-PH"/>
              </w:rPr>
              <w:t>Total</w:t>
            </w:r>
          </w:p>
        </w:tc>
        <w:tc>
          <w:tcPr>
            <w:tcW w:w="2130"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bCs/>
                <w:lang w:eastAsia="en-PH"/>
              </w:rPr>
            </w:pPr>
            <w:r>
              <w:rPr>
                <w:rFonts w:ascii="Arial Narrow" w:hAnsi="Arial Narrow" w:cs="Arial"/>
                <w:b/>
                <w:bCs/>
                <w:lang w:eastAsia="en-PH"/>
              </w:rPr>
              <w:t>897</w:t>
            </w:r>
          </w:p>
        </w:tc>
        <w:tc>
          <w:tcPr>
            <w:tcW w:w="1957"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bCs/>
                <w:lang w:eastAsia="en-PH"/>
              </w:rPr>
            </w:pPr>
            <w:r>
              <w:rPr>
                <w:rFonts w:ascii="Arial Narrow" w:hAnsi="Arial Narrow" w:cs="Arial"/>
                <w:b/>
                <w:bCs/>
                <w:lang w:eastAsia="en-PH"/>
              </w:rPr>
              <w:t>604</w:t>
            </w:r>
          </w:p>
        </w:tc>
        <w:tc>
          <w:tcPr>
            <w:tcW w:w="1688" w:type="dxa"/>
            <w:tcBorders>
              <w:top w:val="single" w:sz="4" w:space="0" w:color="auto"/>
              <w:left w:val="nil"/>
              <w:bottom w:val="double" w:sz="4" w:space="0" w:color="auto"/>
              <w:right w:val="nil"/>
            </w:tcBorders>
            <w:vAlign w:val="bottom"/>
            <w:hideMark/>
          </w:tcPr>
          <w:p>
            <w:pPr>
              <w:spacing w:after="0" w:line="240" w:lineRule="auto"/>
              <w:ind w:right="-110"/>
              <w:jc w:val="right"/>
              <w:rPr>
                <w:rFonts w:ascii="Arial Narrow" w:hAnsi="Arial Narrow" w:cs="Arial"/>
                <w:b/>
                <w:bCs/>
                <w:lang w:eastAsia="en-PH"/>
              </w:rPr>
            </w:pPr>
            <w:r>
              <w:rPr>
                <w:rFonts w:ascii="Arial Narrow" w:hAnsi="Arial Narrow" w:cs="Arial"/>
                <w:b/>
                <w:bCs/>
                <w:lang w:eastAsia="en-PH"/>
              </w:rPr>
              <w:t>1,501</w:t>
            </w:r>
          </w:p>
        </w:tc>
      </w:tr>
    </w:tbl>
    <w:p>
      <w:pPr>
        <w:spacing w:after="0" w:line="240" w:lineRule="auto"/>
        <w:jc w:val="both"/>
        <w:rPr>
          <w:rFonts w:ascii="Arial" w:hAnsi="Arial" w:cs="Arial"/>
          <w:sz w:val="20"/>
          <w:szCs w:val="20"/>
        </w:rPr>
      </w:pPr>
    </w:p>
    <w:p>
      <w:pPr>
        <w:spacing w:after="0" w:line="240" w:lineRule="auto"/>
        <w:jc w:val="both"/>
        <w:rPr>
          <w:rFonts w:ascii="Arial" w:hAnsi="Arial" w:cs="Arial"/>
        </w:rPr>
      </w:pPr>
      <w:r>
        <w:rPr>
          <w:rFonts w:ascii="Arial" w:hAnsi="Arial" w:cs="Arial"/>
        </w:rPr>
        <w:t>The main office of the PCSO is located at the Sun Plaza Building and Conservatory Shaw Plaza Building in Mandaluyong City. It has five branch operations departments, namely: National Capital Region (NCR), Northern and Central Luzon (NCL), Southern Tagalog and Bicol Region (STBR), Visayas and Mindanao.  PCSO has sixty-eight (68) branches nationwide as of December 31, 2020.</w:t>
      </w:r>
    </w:p>
    <w:p>
      <w:pPr>
        <w:spacing w:after="0" w:line="240" w:lineRule="auto"/>
        <w:jc w:val="both"/>
        <w:rPr>
          <w:rFonts w:ascii="Arial" w:hAnsi="Arial" w:cs="Arial"/>
        </w:rPr>
      </w:pPr>
      <w:r>
        <w:rPr>
          <w:rFonts w:ascii="Arial" w:hAnsi="Arial" w:cs="Arial"/>
        </w:rPr>
        <w:lastRenderedPageBreak/>
        <w:t>Proceeds from the sweepstakes draws and the lottery games are the main sources of funds of the PCSO. Various game types have been introduced and other game innovations are constantly being conceptualized.</w:t>
      </w:r>
    </w:p>
    <w:p>
      <w:pPr>
        <w:pStyle w:val="ListParagraph"/>
        <w:ind w:left="0"/>
        <w:jc w:val="both"/>
        <w:rPr>
          <w:rFonts w:ascii="Arial" w:hAnsi="Arial" w:cs="Arial"/>
          <w:sz w:val="19"/>
          <w:szCs w:val="19"/>
        </w:rPr>
      </w:pPr>
    </w:p>
    <w:p>
      <w:pPr>
        <w:spacing w:after="0" w:line="240" w:lineRule="auto"/>
        <w:jc w:val="both"/>
        <w:rPr>
          <w:rFonts w:ascii="Arial" w:hAnsi="Arial" w:cs="Arial"/>
          <w:b/>
          <w:sz w:val="19"/>
          <w:szCs w:val="19"/>
        </w:rPr>
      </w:pPr>
    </w:p>
    <w:p>
      <w:pPr>
        <w:spacing w:after="0" w:line="240" w:lineRule="auto"/>
        <w:jc w:val="both"/>
        <w:rPr>
          <w:rFonts w:ascii="Arial" w:hAnsi="Arial" w:cs="Arial"/>
          <w:b/>
        </w:rPr>
      </w:pPr>
      <w:r>
        <w:rPr>
          <w:rFonts w:ascii="Arial" w:hAnsi="Arial" w:cs="Arial"/>
          <w:b/>
        </w:rPr>
        <w:t>FINANCIAL HIGHLIGHTS (In Philippine Peso)</w:t>
      </w:r>
    </w:p>
    <w:p>
      <w:pPr>
        <w:spacing w:after="0" w:line="240" w:lineRule="auto"/>
        <w:jc w:val="both"/>
        <w:rPr>
          <w:rFonts w:ascii="Arial" w:hAnsi="Arial" w:cs="Arial"/>
          <w:b/>
          <w:sz w:val="19"/>
          <w:szCs w:val="19"/>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Financial Position</w:t>
      </w:r>
    </w:p>
    <w:p>
      <w:pPr>
        <w:spacing w:after="0" w:line="240" w:lineRule="auto"/>
        <w:jc w:val="both"/>
        <w:rPr>
          <w:rFonts w:ascii="Arial" w:hAnsi="Arial" w:cs="Arial"/>
          <w:b/>
          <w:sz w:val="20"/>
          <w:szCs w:val="20"/>
        </w:rPr>
      </w:pPr>
    </w:p>
    <w:tbl>
      <w:tblPr>
        <w:tblW w:w="8789" w:type="dxa"/>
        <w:tblLook w:val="04A0" w:firstRow="1" w:lastRow="0" w:firstColumn="1" w:lastColumn="0" w:noHBand="0" w:noVBand="1"/>
      </w:tblPr>
      <w:tblGrid>
        <w:gridCol w:w="4111"/>
        <w:gridCol w:w="1392"/>
        <w:gridCol w:w="1520"/>
        <w:gridCol w:w="1766"/>
      </w:tblGrid>
      <w:tr>
        <w:trPr>
          <w:trHeight w:val="332"/>
        </w:trPr>
        <w:tc>
          <w:tcPr>
            <w:tcW w:w="4111" w:type="dxa"/>
            <w:tcBorders>
              <w:top w:val="single" w:sz="4" w:space="0" w:color="auto"/>
              <w:left w:val="nil"/>
              <w:bottom w:val="single" w:sz="4" w:space="0" w:color="auto"/>
              <w:right w:val="nil"/>
            </w:tcBorders>
            <w:vAlign w:val="bottom"/>
            <w:hideMark/>
          </w:tcPr>
          <w:p>
            <w:pPr>
              <w:rPr>
                <w:rFonts w:ascii="Arial" w:hAnsi="Arial" w:cs="Arial"/>
                <w:b/>
                <w:sz w:val="20"/>
                <w:szCs w:val="20"/>
              </w:rPr>
            </w:pPr>
          </w:p>
        </w:tc>
        <w:tc>
          <w:tcPr>
            <w:tcW w:w="1397"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2020</w:t>
            </w:r>
          </w:p>
        </w:tc>
        <w:tc>
          <w:tcPr>
            <w:tcW w:w="1541"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2019</w:t>
            </w:r>
          </w:p>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740" w:type="dxa"/>
            <w:tcBorders>
              <w:top w:val="single" w:sz="4" w:space="0" w:color="auto"/>
              <w:left w:val="nil"/>
              <w:bottom w:val="single" w:sz="4" w:space="0" w:color="auto"/>
              <w:right w:val="nil"/>
            </w:tcBorders>
            <w:vAlign w:val="bottom"/>
            <w:hideMark/>
          </w:tcPr>
          <w:p>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trPr>
          <w:trHeight w:val="246"/>
        </w:trPr>
        <w:tc>
          <w:tcPr>
            <w:tcW w:w="4111" w:type="dxa"/>
            <w:noWrap/>
            <w:vAlign w:val="center"/>
            <w:hideMark/>
          </w:tcPr>
          <w:p>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Assets</w:t>
            </w:r>
          </w:p>
        </w:tc>
        <w:tc>
          <w:tcPr>
            <w:tcW w:w="1397" w:type="dxa"/>
            <w:vAlign w:val="center"/>
            <w:hideMark/>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32,275,896,394</w:t>
            </w:r>
          </w:p>
        </w:tc>
        <w:tc>
          <w:tcPr>
            <w:tcW w:w="1541" w:type="dxa"/>
            <w:vAlign w:val="center"/>
            <w:hideMark/>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35,137,041,146</w:t>
            </w:r>
          </w:p>
        </w:tc>
        <w:tc>
          <w:tcPr>
            <w:tcW w:w="1740" w:type="dxa"/>
            <w:vAlign w:val="center"/>
            <w:hideMark/>
          </w:tcPr>
          <w:p>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(2,861,144,752)</w:t>
            </w:r>
          </w:p>
        </w:tc>
      </w:tr>
      <w:tr>
        <w:trPr>
          <w:trHeight w:val="256"/>
        </w:trPr>
        <w:tc>
          <w:tcPr>
            <w:tcW w:w="4111" w:type="dxa"/>
            <w:tcBorders>
              <w:top w:val="nil"/>
              <w:left w:val="nil"/>
              <w:bottom w:val="single" w:sz="4" w:space="0" w:color="auto"/>
              <w:right w:val="nil"/>
            </w:tcBorders>
            <w:noWrap/>
            <w:vAlign w:val="center"/>
            <w:hideMark/>
          </w:tcPr>
          <w:p>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Liabilities</w:t>
            </w:r>
          </w:p>
        </w:tc>
        <w:tc>
          <w:tcPr>
            <w:tcW w:w="1397" w:type="dxa"/>
            <w:tcBorders>
              <w:top w:val="nil"/>
              <w:left w:val="nil"/>
              <w:bottom w:val="single" w:sz="4" w:space="0" w:color="auto"/>
              <w:right w:val="nil"/>
            </w:tcBorders>
            <w:vAlign w:val="center"/>
            <w:hideMark/>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15,691,292,757</w:t>
            </w:r>
          </w:p>
        </w:tc>
        <w:tc>
          <w:tcPr>
            <w:tcW w:w="1541" w:type="dxa"/>
            <w:tcBorders>
              <w:top w:val="nil"/>
              <w:left w:val="nil"/>
              <w:bottom w:val="single" w:sz="4" w:space="0" w:color="auto"/>
              <w:right w:val="nil"/>
            </w:tcBorders>
            <w:vAlign w:val="center"/>
            <w:hideMark/>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18,665,302,912</w:t>
            </w:r>
          </w:p>
        </w:tc>
        <w:tc>
          <w:tcPr>
            <w:tcW w:w="1740" w:type="dxa"/>
            <w:tcBorders>
              <w:top w:val="nil"/>
              <w:left w:val="nil"/>
              <w:bottom w:val="single" w:sz="4" w:space="0" w:color="auto"/>
              <w:right w:val="nil"/>
            </w:tcBorders>
            <w:vAlign w:val="center"/>
            <w:hideMark/>
          </w:tcPr>
          <w:p>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(2,974,010,155)</w:t>
            </w:r>
          </w:p>
        </w:tc>
      </w:tr>
      <w:tr>
        <w:trPr>
          <w:trHeight w:val="179"/>
        </w:trPr>
        <w:tc>
          <w:tcPr>
            <w:tcW w:w="4111" w:type="dxa"/>
            <w:tcBorders>
              <w:top w:val="single" w:sz="4" w:space="0" w:color="auto"/>
              <w:left w:val="nil"/>
              <w:bottom w:val="double" w:sz="4" w:space="0" w:color="auto"/>
              <w:right w:val="nil"/>
            </w:tcBorders>
            <w:noWrap/>
            <w:vAlign w:val="center"/>
            <w:hideMark/>
          </w:tcPr>
          <w:p>
            <w:pPr>
              <w:spacing w:after="0" w:line="240" w:lineRule="auto"/>
              <w:ind w:hanging="93"/>
              <w:rPr>
                <w:rFonts w:ascii="Arial Narrow" w:eastAsia="Times New Roman" w:hAnsi="Arial Narrow" w:cs="Arial"/>
                <w:b/>
                <w:sz w:val="20"/>
                <w:szCs w:val="20"/>
                <w:lang w:val="en-US"/>
              </w:rPr>
            </w:pPr>
            <w:r>
              <w:rPr>
                <w:rFonts w:ascii="Arial Narrow" w:eastAsia="Times New Roman" w:hAnsi="Arial Narrow" w:cs="Arial"/>
                <w:b/>
                <w:sz w:val="20"/>
                <w:szCs w:val="20"/>
                <w:lang w:val="en-US"/>
              </w:rPr>
              <w:t>Equity</w:t>
            </w:r>
          </w:p>
        </w:tc>
        <w:tc>
          <w:tcPr>
            <w:tcW w:w="1397" w:type="dxa"/>
            <w:tcBorders>
              <w:top w:val="single" w:sz="4" w:space="0" w:color="auto"/>
              <w:left w:val="nil"/>
              <w:bottom w:val="double" w:sz="4" w:space="0" w:color="auto"/>
              <w:right w:val="nil"/>
            </w:tcBorders>
            <w:vAlign w:val="center"/>
            <w:hideMark/>
          </w:tcPr>
          <w:p>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16,584,603,637</w:t>
            </w:r>
          </w:p>
        </w:tc>
        <w:tc>
          <w:tcPr>
            <w:tcW w:w="1541" w:type="dxa"/>
            <w:tcBorders>
              <w:top w:val="single" w:sz="4" w:space="0" w:color="auto"/>
              <w:left w:val="nil"/>
              <w:bottom w:val="double" w:sz="4" w:space="0" w:color="auto"/>
              <w:right w:val="nil"/>
            </w:tcBorders>
            <w:vAlign w:val="center"/>
            <w:hideMark/>
          </w:tcPr>
          <w:p>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16,471,738,234</w:t>
            </w:r>
          </w:p>
        </w:tc>
        <w:tc>
          <w:tcPr>
            <w:tcW w:w="1740" w:type="dxa"/>
            <w:tcBorders>
              <w:top w:val="single" w:sz="4" w:space="0" w:color="auto"/>
              <w:left w:val="nil"/>
              <w:bottom w:val="double" w:sz="4" w:space="0" w:color="auto"/>
              <w:right w:val="nil"/>
            </w:tcBorders>
            <w:vAlign w:val="center"/>
            <w:hideMark/>
          </w:tcPr>
          <w:p>
            <w:pPr>
              <w:spacing w:after="0" w:line="240" w:lineRule="auto"/>
              <w:ind w:right="-108"/>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112,865,403</w:t>
            </w:r>
          </w:p>
        </w:tc>
      </w:tr>
    </w:tbl>
    <w:p>
      <w:pPr>
        <w:pStyle w:val="ListParagraph"/>
        <w:jc w:val="both"/>
        <w:rPr>
          <w:rFonts w:ascii="Arial Narrow" w:hAnsi="Arial Narrow" w:cs="Arial"/>
          <w:b/>
          <w:sz w:val="20"/>
          <w:szCs w:val="20"/>
          <w:lang w:val="en-US"/>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Comprehensive Income</w:t>
      </w:r>
    </w:p>
    <w:p>
      <w:pPr>
        <w:spacing w:after="0" w:line="240" w:lineRule="auto"/>
        <w:jc w:val="both"/>
        <w:rPr>
          <w:rFonts w:ascii="Arial Narrow" w:hAnsi="Arial Narrow" w:cs="Arial"/>
          <w:b/>
          <w:sz w:val="20"/>
          <w:szCs w:val="20"/>
        </w:rPr>
      </w:pPr>
    </w:p>
    <w:tbl>
      <w:tblPr>
        <w:tblW w:w="8789" w:type="dxa"/>
        <w:tblLook w:val="04A0" w:firstRow="1" w:lastRow="0" w:firstColumn="1" w:lastColumn="0" w:noHBand="0" w:noVBand="1"/>
      </w:tblPr>
      <w:tblGrid>
        <w:gridCol w:w="4016"/>
        <w:gridCol w:w="1515"/>
        <w:gridCol w:w="1515"/>
        <w:gridCol w:w="1743"/>
      </w:tblGrid>
      <w:tr>
        <w:trPr>
          <w:trHeight w:val="481"/>
        </w:trPr>
        <w:tc>
          <w:tcPr>
            <w:tcW w:w="4016" w:type="dxa"/>
            <w:tcBorders>
              <w:top w:val="single" w:sz="4" w:space="0" w:color="auto"/>
              <w:left w:val="nil"/>
              <w:bottom w:val="single" w:sz="4" w:space="0" w:color="auto"/>
              <w:right w:val="nil"/>
            </w:tcBorders>
            <w:vAlign w:val="bottom"/>
            <w:hideMark/>
          </w:tcPr>
          <w:p>
            <w:pPr>
              <w:rPr>
                <w:rFonts w:ascii="Arial Narrow" w:hAnsi="Arial Narrow" w:cs="Arial"/>
                <w:b/>
                <w:sz w:val="20"/>
                <w:szCs w:val="20"/>
              </w:rPr>
            </w:pPr>
          </w:p>
        </w:tc>
        <w:tc>
          <w:tcPr>
            <w:tcW w:w="1566"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2020</w:t>
            </w:r>
          </w:p>
        </w:tc>
        <w:tc>
          <w:tcPr>
            <w:tcW w:w="1566"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2019</w:t>
            </w:r>
          </w:p>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641" w:type="dxa"/>
            <w:tcBorders>
              <w:top w:val="single" w:sz="4" w:space="0" w:color="auto"/>
              <w:left w:val="nil"/>
              <w:bottom w:val="single" w:sz="4" w:space="0" w:color="auto"/>
              <w:right w:val="nil"/>
            </w:tcBorders>
            <w:vAlign w:val="bottom"/>
            <w:hideMark/>
          </w:tcPr>
          <w:p>
            <w:pPr>
              <w:spacing w:after="0" w:line="240" w:lineRule="auto"/>
              <w:ind w:right="-104" w:hanging="23"/>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trPr>
          <w:trHeight w:val="188"/>
        </w:trPr>
        <w:tc>
          <w:tcPr>
            <w:tcW w:w="4016" w:type="dxa"/>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income</w:t>
            </w:r>
          </w:p>
        </w:tc>
        <w:tc>
          <w:tcPr>
            <w:tcW w:w="1566" w:type="dxa"/>
            <w:vAlign w:val="bottom"/>
            <w:hideMark/>
          </w:tcPr>
          <w:p>
            <w:pPr>
              <w:spacing w:after="0" w:line="240" w:lineRule="auto"/>
              <w:jc w:val="right"/>
              <w:rPr>
                <w:rFonts w:ascii="Arial Narrow" w:hAnsi="Arial Narrow" w:cs="Arial"/>
                <w:sz w:val="20"/>
                <w:szCs w:val="20"/>
                <w:lang w:val="en-US" w:eastAsia="en-PH"/>
              </w:rPr>
            </w:pPr>
            <w:r>
              <w:rPr>
                <w:rFonts w:ascii="Arial Narrow" w:hAnsi="Arial Narrow" w:cs="Arial"/>
                <w:sz w:val="20"/>
                <w:szCs w:val="20"/>
                <w:lang w:val="en-US" w:eastAsia="en-PH"/>
              </w:rPr>
              <w:t>19,496,236,107</w:t>
            </w:r>
          </w:p>
        </w:tc>
        <w:tc>
          <w:tcPr>
            <w:tcW w:w="1566" w:type="dxa"/>
            <w:vAlign w:val="bottom"/>
            <w:hideMark/>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52,098,025,697</w:t>
            </w:r>
          </w:p>
        </w:tc>
        <w:tc>
          <w:tcPr>
            <w:tcW w:w="1641" w:type="dxa"/>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(32,601,789,590)</w:t>
            </w:r>
          </w:p>
        </w:tc>
      </w:tr>
      <w:tr>
        <w:trPr>
          <w:trHeight w:val="234"/>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operating expenses</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14,625,984,215 </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31,065,382,807 </w:t>
            </w:r>
          </w:p>
        </w:tc>
        <w:tc>
          <w:tcPr>
            <w:tcW w:w="1641" w:type="dxa"/>
            <w:tcBorders>
              <w:top w:val="nil"/>
              <w:left w:val="nil"/>
              <w:bottom w:val="single" w:sz="4" w:space="0" w:color="auto"/>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(16,439,398,592)</w:t>
            </w:r>
          </w:p>
        </w:tc>
      </w:tr>
      <w:tr>
        <w:trPr>
          <w:trHeight w:val="161"/>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 (loss) before tax</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4,870,251,892 </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21,032,642,890 </w:t>
            </w:r>
          </w:p>
        </w:tc>
        <w:tc>
          <w:tcPr>
            <w:tcW w:w="1641" w:type="dxa"/>
            <w:tcBorders>
              <w:top w:val="single" w:sz="4" w:space="0" w:color="auto"/>
              <w:left w:val="nil"/>
              <w:bottom w:val="nil"/>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(16,162,390,998)</w:t>
            </w:r>
          </w:p>
        </w:tc>
      </w:tr>
      <w:tr>
        <w:trPr>
          <w:trHeight w:val="198"/>
        </w:trPr>
        <w:tc>
          <w:tcPr>
            <w:tcW w:w="4016" w:type="dxa"/>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Income tax expense/benefit</w:t>
            </w:r>
          </w:p>
        </w:tc>
        <w:tc>
          <w:tcPr>
            <w:tcW w:w="1566" w:type="dxa"/>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134,417,618 </w:t>
            </w:r>
          </w:p>
        </w:tc>
        <w:tc>
          <w:tcPr>
            <w:tcW w:w="1566" w:type="dxa"/>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1,832,499,316 </w:t>
            </w:r>
          </w:p>
        </w:tc>
        <w:tc>
          <w:tcPr>
            <w:tcW w:w="1641" w:type="dxa"/>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(1,698,081,698)</w:t>
            </w:r>
          </w:p>
        </w:tc>
      </w:tr>
      <w:tr>
        <w:trPr>
          <w:trHeight w:val="153"/>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Income tax expense/benefit – deferred</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(14,745,802)</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(107,160,609)</w:t>
            </w:r>
          </w:p>
        </w:tc>
        <w:tc>
          <w:tcPr>
            <w:tcW w:w="1641" w:type="dxa"/>
            <w:tcBorders>
              <w:top w:val="nil"/>
              <w:left w:val="nil"/>
              <w:bottom w:val="single" w:sz="4" w:space="0" w:color="auto"/>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92,414,807 </w:t>
            </w:r>
          </w:p>
        </w:tc>
      </w:tr>
      <w:tr>
        <w:trPr>
          <w:trHeight w:val="179"/>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Profit/(loss) after tax</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4,750,580,076 </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19,307,304,183 </w:t>
            </w:r>
          </w:p>
        </w:tc>
        <w:tc>
          <w:tcPr>
            <w:tcW w:w="1641" w:type="dxa"/>
            <w:tcBorders>
              <w:top w:val="single" w:sz="4" w:space="0" w:color="auto"/>
              <w:left w:val="nil"/>
              <w:bottom w:val="nil"/>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(14,556,724,107)</w:t>
            </w:r>
          </w:p>
        </w:tc>
      </w:tr>
      <w:tr>
        <w:trPr>
          <w:trHeight w:val="144"/>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Financial assistance/subsidy/contribution</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4,343,270,600 </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8,457,225,449 </w:t>
            </w:r>
          </w:p>
        </w:tc>
        <w:tc>
          <w:tcPr>
            <w:tcW w:w="1641" w:type="dxa"/>
            <w:tcBorders>
              <w:top w:val="nil"/>
              <w:left w:val="nil"/>
              <w:bottom w:val="single" w:sz="4" w:space="0" w:color="auto"/>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(4,113,954,849)</w:t>
            </w:r>
          </w:p>
        </w:tc>
      </w:tr>
      <w:tr>
        <w:trPr>
          <w:trHeight w:val="260"/>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Net income/(loss)</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407,309,476 </w:t>
            </w:r>
          </w:p>
        </w:tc>
        <w:tc>
          <w:tcPr>
            <w:tcW w:w="1566"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sz w:val="20"/>
                <w:szCs w:val="20"/>
                <w:lang w:val="en-US"/>
              </w:rPr>
            </w:pPr>
            <w:r>
              <w:rPr>
                <w:rFonts w:ascii="Arial Narrow" w:eastAsia="Times New Roman" w:hAnsi="Arial Narrow"/>
                <w:sz w:val="20"/>
                <w:szCs w:val="20"/>
                <w:lang w:val="en-US" w:eastAsia="en-PH"/>
              </w:rPr>
              <w:t xml:space="preserve">  10,850,078,734 </w:t>
            </w:r>
          </w:p>
        </w:tc>
        <w:tc>
          <w:tcPr>
            <w:tcW w:w="1641" w:type="dxa"/>
            <w:tcBorders>
              <w:top w:val="single" w:sz="4" w:space="0" w:color="auto"/>
              <w:left w:val="nil"/>
              <w:bottom w:val="nil"/>
              <w:right w:val="nil"/>
            </w:tcBorders>
            <w:vAlign w:val="bottom"/>
            <w:hideMark/>
          </w:tcPr>
          <w:p>
            <w:pPr>
              <w:spacing w:after="0" w:line="240" w:lineRule="auto"/>
              <w:ind w:right="-104"/>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(10,442,769,258)</w:t>
            </w:r>
          </w:p>
        </w:tc>
      </w:tr>
      <w:tr>
        <w:trPr>
          <w:trHeight w:val="191"/>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 comprehensive income (loss) for the period</w:t>
            </w:r>
          </w:p>
        </w:tc>
        <w:tc>
          <w:tcPr>
            <w:tcW w:w="1566" w:type="dxa"/>
            <w:tcBorders>
              <w:top w:val="nil"/>
              <w:left w:val="nil"/>
              <w:bottom w:val="single" w:sz="4" w:space="0" w:color="auto"/>
              <w:right w:val="nil"/>
            </w:tcBorders>
            <w:vAlign w:val="bottom"/>
            <w:hideMark/>
          </w:tcPr>
          <w:p>
            <w:pPr>
              <w:spacing w:after="0" w:line="240" w:lineRule="auto"/>
              <w:jc w:val="right"/>
              <w:rPr>
                <w:rFonts w:ascii="Arial Narrow" w:hAnsi="Arial Narrow" w:cs="Arial"/>
                <w:sz w:val="20"/>
                <w:szCs w:val="20"/>
                <w:lang w:val="en-US"/>
              </w:rPr>
            </w:pPr>
            <w:r>
              <w:rPr>
                <w:rFonts w:ascii="Arial Narrow" w:eastAsia="Times New Roman" w:hAnsi="Arial Narrow"/>
                <w:sz w:val="20"/>
                <w:szCs w:val="20"/>
                <w:lang w:val="en-US" w:eastAsia="en-PH"/>
              </w:rPr>
              <w:t xml:space="preserve">          (1,120,115)</w:t>
            </w:r>
          </w:p>
        </w:tc>
        <w:tc>
          <w:tcPr>
            <w:tcW w:w="1566" w:type="dxa"/>
            <w:tcBorders>
              <w:top w:val="nil"/>
              <w:left w:val="nil"/>
              <w:bottom w:val="single" w:sz="4" w:space="0" w:color="auto"/>
              <w:right w:val="nil"/>
            </w:tcBorders>
            <w:vAlign w:val="bottom"/>
            <w:hideMark/>
          </w:tcPr>
          <w:p>
            <w:pPr>
              <w:spacing w:after="0" w:line="240" w:lineRule="auto"/>
              <w:jc w:val="center"/>
              <w:rPr>
                <w:rFonts w:ascii="Arial Narrow" w:hAnsi="Arial Narrow" w:cs="Arial"/>
                <w:sz w:val="20"/>
                <w:szCs w:val="20"/>
                <w:lang w:val="en-US"/>
              </w:rPr>
            </w:pPr>
            <w:r>
              <w:rPr>
                <w:rFonts w:ascii="Arial Narrow" w:eastAsia="Times New Roman" w:hAnsi="Arial Narrow"/>
                <w:sz w:val="20"/>
                <w:szCs w:val="20"/>
                <w:lang w:val="en-US" w:eastAsia="en-PH"/>
              </w:rPr>
              <w:t xml:space="preserve">          95,547,933 </w:t>
            </w:r>
          </w:p>
        </w:tc>
        <w:tc>
          <w:tcPr>
            <w:tcW w:w="1641" w:type="dxa"/>
            <w:tcBorders>
              <w:top w:val="nil"/>
              <w:left w:val="nil"/>
              <w:bottom w:val="single" w:sz="4" w:space="0" w:color="auto"/>
              <w:right w:val="nil"/>
            </w:tcBorders>
            <w:vAlign w:val="bottom"/>
            <w:hideMark/>
          </w:tcPr>
          <w:p>
            <w:pPr>
              <w:spacing w:after="0" w:line="240" w:lineRule="auto"/>
              <w:ind w:right="-104"/>
              <w:jc w:val="right"/>
              <w:rPr>
                <w:rFonts w:ascii="Arial Narrow" w:hAnsi="Arial Narrow"/>
                <w:sz w:val="20"/>
                <w:szCs w:val="20"/>
                <w:lang w:val="en-US"/>
              </w:rPr>
            </w:pPr>
            <w:r>
              <w:rPr>
                <w:rFonts w:ascii="Arial Narrow" w:eastAsia="Times New Roman" w:hAnsi="Arial Narrow"/>
                <w:sz w:val="20"/>
                <w:szCs w:val="20"/>
                <w:lang w:val="en-US" w:eastAsia="en-PH"/>
              </w:rPr>
              <w:t xml:space="preserve">        (96,668,048)</w:t>
            </w:r>
          </w:p>
        </w:tc>
      </w:tr>
      <w:tr>
        <w:trPr>
          <w:trHeight w:val="206"/>
        </w:trPr>
        <w:tc>
          <w:tcPr>
            <w:tcW w:w="4016" w:type="dxa"/>
            <w:tcBorders>
              <w:top w:val="single" w:sz="4" w:space="0" w:color="auto"/>
              <w:left w:val="nil"/>
              <w:bottom w:val="doub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
                <w:bCs/>
                <w:sz w:val="20"/>
                <w:szCs w:val="20"/>
                <w:lang w:val="en-US" w:eastAsia="ar-SA"/>
              </w:rPr>
            </w:pPr>
            <w:r>
              <w:rPr>
                <w:rFonts w:ascii="Arial Narrow" w:eastAsia="Times New Roman" w:hAnsi="Arial Narrow" w:cs="Arial"/>
                <w:b/>
                <w:bCs/>
                <w:sz w:val="20"/>
                <w:szCs w:val="20"/>
                <w:lang w:val="en-US" w:eastAsia="ar-SA"/>
              </w:rPr>
              <w:lastRenderedPageBreak/>
              <w:t>Total Comprehensive Income</w:t>
            </w:r>
          </w:p>
        </w:tc>
        <w:tc>
          <w:tcPr>
            <w:tcW w:w="1566"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sz w:val="20"/>
                <w:szCs w:val="20"/>
                <w:lang w:val="en-US"/>
              </w:rPr>
            </w:pPr>
            <w:r>
              <w:rPr>
                <w:rFonts w:ascii="Arial Narrow" w:eastAsia="Times New Roman" w:hAnsi="Arial Narrow"/>
                <w:b/>
                <w:bCs/>
                <w:sz w:val="20"/>
                <w:szCs w:val="20"/>
                <w:lang w:val="en-US" w:eastAsia="en-PH"/>
              </w:rPr>
              <w:t xml:space="preserve">        406,189,361 </w:t>
            </w:r>
          </w:p>
        </w:tc>
        <w:tc>
          <w:tcPr>
            <w:tcW w:w="1566"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sz w:val="20"/>
                <w:szCs w:val="20"/>
                <w:lang w:val="en-US"/>
              </w:rPr>
            </w:pPr>
            <w:r>
              <w:rPr>
                <w:rFonts w:ascii="Arial Narrow" w:eastAsia="Times New Roman" w:hAnsi="Arial Narrow"/>
                <w:b/>
                <w:bCs/>
                <w:sz w:val="20"/>
                <w:szCs w:val="20"/>
                <w:lang w:val="en-US" w:eastAsia="en-PH"/>
              </w:rPr>
              <w:t xml:space="preserve">  10,945,626,667 </w:t>
            </w:r>
          </w:p>
        </w:tc>
        <w:tc>
          <w:tcPr>
            <w:tcW w:w="1641" w:type="dxa"/>
            <w:tcBorders>
              <w:top w:val="single" w:sz="4" w:space="0" w:color="auto"/>
              <w:left w:val="nil"/>
              <w:bottom w:val="double" w:sz="4" w:space="0" w:color="auto"/>
              <w:right w:val="nil"/>
            </w:tcBorders>
            <w:vAlign w:val="bottom"/>
            <w:hideMark/>
          </w:tcPr>
          <w:p>
            <w:pPr>
              <w:spacing w:after="0" w:line="240" w:lineRule="auto"/>
              <w:ind w:right="-104"/>
              <w:jc w:val="right"/>
              <w:rPr>
                <w:rFonts w:ascii="Arial Narrow" w:hAnsi="Arial Narrow" w:cs="Arial"/>
                <w:b/>
                <w:sz w:val="20"/>
                <w:szCs w:val="20"/>
                <w:lang w:val="en-US"/>
              </w:rPr>
            </w:pPr>
            <w:r>
              <w:rPr>
                <w:rFonts w:ascii="Arial Narrow" w:eastAsia="Times New Roman" w:hAnsi="Arial Narrow"/>
                <w:b/>
                <w:bCs/>
                <w:sz w:val="20"/>
                <w:szCs w:val="20"/>
                <w:lang w:val="en-US" w:eastAsia="en-PH"/>
              </w:rPr>
              <w:t xml:space="preserve">   (10,539,437,306)</w:t>
            </w:r>
          </w:p>
        </w:tc>
      </w:tr>
    </w:tbl>
    <w:p>
      <w:pPr>
        <w:spacing w:after="0" w:line="240" w:lineRule="auto"/>
        <w:jc w:val="both"/>
        <w:rPr>
          <w:rFonts w:ascii="Arial Narrow" w:hAnsi="Arial Narrow" w:cs="Arial"/>
          <w:b/>
          <w:sz w:val="20"/>
          <w:szCs w:val="20"/>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Comparison of the CY 2020 Budget and Actual Amounts on Comparable Basis</w:t>
      </w:r>
    </w:p>
    <w:p>
      <w:pPr>
        <w:spacing w:after="0" w:line="240" w:lineRule="auto"/>
        <w:jc w:val="both"/>
        <w:rPr>
          <w:rFonts w:ascii="Arial Narrow" w:hAnsi="Arial Narrow" w:cs="Arial"/>
          <w:sz w:val="20"/>
          <w:szCs w:val="20"/>
        </w:rPr>
      </w:pPr>
    </w:p>
    <w:tbl>
      <w:tblPr>
        <w:tblW w:w="8784" w:type="dxa"/>
        <w:tblLook w:val="04A0" w:firstRow="1" w:lastRow="0" w:firstColumn="1" w:lastColumn="0" w:noHBand="0" w:noVBand="1"/>
      </w:tblPr>
      <w:tblGrid>
        <w:gridCol w:w="257"/>
        <w:gridCol w:w="3566"/>
        <w:gridCol w:w="1701"/>
        <w:gridCol w:w="1559"/>
        <w:gridCol w:w="1701"/>
      </w:tblGrid>
      <w:tr>
        <w:trPr>
          <w:trHeight w:val="350"/>
        </w:trPr>
        <w:tc>
          <w:tcPr>
            <w:tcW w:w="257" w:type="dxa"/>
            <w:tcBorders>
              <w:top w:val="single" w:sz="4" w:space="0" w:color="auto"/>
              <w:left w:val="nil"/>
              <w:bottom w:val="single" w:sz="4" w:space="0" w:color="auto"/>
              <w:right w:val="nil"/>
            </w:tcBorders>
            <w:vAlign w:val="bottom"/>
            <w:hideMark/>
          </w:tcPr>
          <w:p>
            <w:pPr>
              <w:rPr>
                <w:rFonts w:ascii="Arial Narrow" w:hAnsi="Arial Narrow" w:cs="Arial"/>
                <w:sz w:val="20"/>
                <w:szCs w:val="20"/>
              </w:rPr>
            </w:pPr>
          </w:p>
        </w:tc>
        <w:tc>
          <w:tcPr>
            <w:tcW w:w="3566" w:type="dxa"/>
            <w:tcBorders>
              <w:top w:val="single" w:sz="4" w:space="0" w:color="auto"/>
              <w:left w:val="nil"/>
              <w:bottom w:val="single" w:sz="4" w:space="0" w:color="auto"/>
              <w:right w:val="nil"/>
            </w:tcBorders>
            <w:vAlign w:val="bottom"/>
          </w:tcPr>
          <w:p>
            <w:pPr>
              <w:spacing w:after="0" w:line="240" w:lineRule="auto"/>
              <w:ind w:left="-108" w:right="-108"/>
              <w:jc w:val="right"/>
              <w:rPr>
                <w:rFonts w:ascii="Arial Narrow" w:eastAsia="Times New Roman" w:hAnsi="Arial Narrow" w:cs="Arial"/>
                <w:b/>
                <w:bCs/>
                <w:sz w:val="20"/>
                <w:szCs w:val="20"/>
                <w:lang w:val="en-US"/>
              </w:rPr>
            </w:pPr>
          </w:p>
        </w:tc>
        <w:tc>
          <w:tcPr>
            <w:tcW w:w="1701" w:type="dxa"/>
            <w:tcBorders>
              <w:top w:val="single" w:sz="4" w:space="0" w:color="auto"/>
              <w:left w:val="nil"/>
              <w:bottom w:val="single" w:sz="4" w:space="0" w:color="auto"/>
              <w:right w:val="nil"/>
            </w:tcBorders>
            <w:vAlign w:val="bottom"/>
            <w:hideMark/>
          </w:tcPr>
          <w:p>
            <w:pPr>
              <w:spacing w:after="0" w:line="240" w:lineRule="auto"/>
              <w:ind w:left="-110"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Approved Corporate Operating Budget</w:t>
            </w:r>
          </w:p>
        </w:tc>
        <w:tc>
          <w:tcPr>
            <w:tcW w:w="1559" w:type="dxa"/>
            <w:tcBorders>
              <w:top w:val="single" w:sz="4" w:space="0" w:color="auto"/>
              <w:left w:val="nil"/>
              <w:bottom w:val="single" w:sz="4" w:space="0" w:color="auto"/>
              <w:right w:val="nil"/>
            </w:tcBorders>
            <w:vAlign w:val="bottom"/>
            <w:hideMark/>
          </w:tcPr>
          <w:p>
            <w:pPr>
              <w:spacing w:after="0" w:line="240" w:lineRule="auto"/>
              <w:ind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Actual Amounts on Comparable Basis</w:t>
            </w:r>
          </w:p>
        </w:tc>
        <w:tc>
          <w:tcPr>
            <w:tcW w:w="1701" w:type="dxa"/>
            <w:tcBorders>
              <w:top w:val="single" w:sz="4" w:space="0" w:color="auto"/>
              <w:left w:val="nil"/>
              <w:bottom w:val="single" w:sz="4" w:space="0" w:color="auto"/>
              <w:right w:val="nil"/>
            </w:tcBorders>
            <w:vAlign w:val="bottom"/>
            <w:hideMark/>
          </w:tcPr>
          <w:p>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Variance</w:t>
            </w:r>
          </w:p>
        </w:tc>
      </w:tr>
      <w:tr>
        <w:trPr>
          <w:trHeight w:val="50"/>
        </w:trPr>
        <w:tc>
          <w:tcPr>
            <w:tcW w:w="3823" w:type="dxa"/>
            <w:gridSpan w:val="2"/>
            <w:tcBorders>
              <w:top w:val="single" w:sz="4" w:space="0" w:color="auto"/>
              <w:left w:val="nil"/>
              <w:bottom w:val="nil"/>
              <w:right w:val="nil"/>
            </w:tcBorders>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Operating Fund</w:t>
            </w:r>
          </w:p>
        </w:tc>
        <w:tc>
          <w:tcPr>
            <w:tcW w:w="1701" w:type="dxa"/>
            <w:tcBorders>
              <w:top w:val="single" w:sz="4" w:space="0" w:color="auto"/>
              <w:left w:val="nil"/>
              <w:bottom w:val="nil"/>
              <w:right w:val="nil"/>
            </w:tcBorders>
            <w:vAlign w:val="center"/>
          </w:tcPr>
          <w:p>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tcBorders>
              <w:top w:val="single" w:sz="4" w:space="0" w:color="auto"/>
              <w:left w:val="nil"/>
              <w:bottom w:val="nil"/>
              <w:right w:val="nil"/>
            </w:tcBorders>
            <w:vAlign w:val="center"/>
          </w:tcPr>
          <w:p>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tcBorders>
              <w:top w:val="single" w:sz="4" w:space="0" w:color="auto"/>
              <w:left w:val="nil"/>
              <w:bottom w:val="nil"/>
              <w:right w:val="nil"/>
            </w:tcBorders>
            <w:vAlign w:val="center"/>
          </w:tcPr>
          <w:p>
            <w:pPr>
              <w:spacing w:after="0" w:line="240" w:lineRule="auto"/>
              <w:ind w:right="-108"/>
              <w:jc w:val="right"/>
              <w:rPr>
                <w:rFonts w:ascii="Arial Narrow" w:eastAsia="Times New Roman" w:hAnsi="Arial Narrow" w:cs="Arial"/>
                <w:sz w:val="20"/>
                <w:szCs w:val="20"/>
                <w:lang w:val="en-US"/>
              </w:rPr>
            </w:pPr>
          </w:p>
        </w:tc>
      </w:tr>
      <w:tr>
        <w:trPr>
          <w:trHeight w:val="90"/>
        </w:trPr>
        <w:tc>
          <w:tcPr>
            <w:tcW w:w="257" w:type="dxa"/>
            <w:vAlign w:val="center"/>
          </w:tcPr>
          <w:p>
            <w:pPr>
              <w:suppressAutoHyphens/>
              <w:snapToGrid w:val="0"/>
              <w:spacing w:after="0" w:line="240" w:lineRule="auto"/>
              <w:ind w:hanging="107"/>
              <w:jc w:val="right"/>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Personnel services</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1,106,922,000</w:t>
            </w:r>
          </w:p>
        </w:tc>
        <w:tc>
          <w:tcPr>
            <w:tcW w:w="1559" w:type="dxa"/>
            <w:vAlign w:val="bottom"/>
            <w:hideMark/>
          </w:tcPr>
          <w:p>
            <w:pPr>
              <w:spacing w:after="0" w:line="240" w:lineRule="auto"/>
              <w:ind w:right="-100"/>
              <w:jc w:val="right"/>
              <w:rPr>
                <w:rFonts w:ascii="Arial Narrow" w:hAnsi="Arial Narrow" w:cs="Arial"/>
                <w:sz w:val="20"/>
                <w:szCs w:val="20"/>
                <w:lang w:val="en-US"/>
              </w:rPr>
            </w:pPr>
            <w:r>
              <w:rPr>
                <w:rFonts w:ascii="Arial Narrow" w:hAnsi="Arial Narrow" w:cs="Arial"/>
                <w:sz w:val="20"/>
                <w:szCs w:val="20"/>
                <w:lang w:val="en-US"/>
              </w:rPr>
              <w:t>948,689,978</w:t>
            </w:r>
          </w:p>
        </w:tc>
        <w:tc>
          <w:tcPr>
            <w:tcW w:w="1701" w:type="dxa"/>
            <w:vAlign w:val="bottom"/>
            <w:hideMark/>
          </w:tcPr>
          <w:p>
            <w:pPr>
              <w:spacing w:after="0" w:line="240" w:lineRule="auto"/>
              <w:ind w:right="-90"/>
              <w:jc w:val="right"/>
              <w:rPr>
                <w:rFonts w:ascii="Arial Narrow" w:hAnsi="Arial Narrow"/>
                <w:sz w:val="20"/>
                <w:szCs w:val="20"/>
                <w:lang w:val="en-US"/>
              </w:rPr>
            </w:pPr>
            <w:r>
              <w:rPr>
                <w:rFonts w:ascii="Arial Narrow" w:hAnsi="Arial Narrow"/>
                <w:sz w:val="20"/>
                <w:szCs w:val="20"/>
                <w:lang w:val="en-US"/>
              </w:rPr>
              <w:t xml:space="preserve">158,232,022   </w:t>
            </w:r>
          </w:p>
        </w:tc>
      </w:tr>
      <w:tr>
        <w:trPr>
          <w:trHeight w:val="169"/>
        </w:trPr>
        <w:tc>
          <w:tcPr>
            <w:tcW w:w="257" w:type="dxa"/>
            <w:vAlign w:val="bottom"/>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bottom"/>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4,155,277,000</w:t>
            </w:r>
          </w:p>
        </w:tc>
        <w:tc>
          <w:tcPr>
            <w:tcW w:w="1559" w:type="dxa"/>
            <w:vAlign w:val="bottom"/>
            <w:hideMark/>
          </w:tcPr>
          <w:p>
            <w:pPr>
              <w:spacing w:after="0" w:line="240" w:lineRule="auto"/>
              <w:ind w:right="-100"/>
              <w:jc w:val="right"/>
              <w:rPr>
                <w:rFonts w:ascii="Arial Narrow" w:hAnsi="Arial Narrow" w:cs="Arial"/>
                <w:sz w:val="20"/>
                <w:szCs w:val="20"/>
                <w:lang w:val="en-US"/>
              </w:rPr>
            </w:pPr>
            <w:r>
              <w:rPr>
                <w:rFonts w:ascii="Arial Narrow" w:hAnsi="Arial Narrow" w:cs="Arial"/>
                <w:sz w:val="20"/>
                <w:szCs w:val="20"/>
                <w:lang w:val="en-US"/>
              </w:rPr>
              <w:t>1,240,568,454</w:t>
            </w:r>
          </w:p>
        </w:tc>
        <w:tc>
          <w:tcPr>
            <w:tcW w:w="1701" w:type="dxa"/>
            <w:vAlign w:val="bottom"/>
            <w:hideMark/>
          </w:tcPr>
          <w:p>
            <w:pPr>
              <w:spacing w:after="0" w:line="240" w:lineRule="auto"/>
              <w:ind w:right="-90"/>
              <w:jc w:val="right"/>
              <w:rPr>
                <w:rFonts w:ascii="Arial Narrow" w:hAnsi="Arial Narrow"/>
                <w:sz w:val="20"/>
                <w:szCs w:val="20"/>
                <w:lang w:val="en-US"/>
              </w:rPr>
            </w:pPr>
            <w:r>
              <w:rPr>
                <w:rFonts w:ascii="Arial Narrow" w:hAnsi="Arial Narrow"/>
                <w:sz w:val="20"/>
                <w:szCs w:val="20"/>
                <w:lang w:val="en-US"/>
              </w:rPr>
              <w:t xml:space="preserve">2,914,708,546 </w:t>
            </w:r>
          </w:p>
        </w:tc>
      </w:tr>
      <w:tr>
        <w:trPr>
          <w:trHeight w:val="207"/>
        </w:trPr>
        <w:tc>
          <w:tcPr>
            <w:tcW w:w="257" w:type="dxa"/>
            <w:vAlign w:val="center"/>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Capital outlays</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3,757,546,000</w:t>
            </w:r>
          </w:p>
        </w:tc>
        <w:tc>
          <w:tcPr>
            <w:tcW w:w="1559" w:type="dxa"/>
            <w:vAlign w:val="bottom"/>
            <w:hideMark/>
          </w:tcPr>
          <w:p>
            <w:pPr>
              <w:spacing w:after="0" w:line="240" w:lineRule="auto"/>
              <w:ind w:right="-100"/>
              <w:jc w:val="right"/>
              <w:rPr>
                <w:rFonts w:ascii="Arial Narrow" w:hAnsi="Arial Narrow" w:cs="Arial"/>
                <w:sz w:val="20"/>
                <w:szCs w:val="20"/>
                <w:lang w:val="en-US"/>
              </w:rPr>
            </w:pPr>
            <w:r>
              <w:rPr>
                <w:rFonts w:ascii="Arial Narrow" w:hAnsi="Arial Narrow" w:cs="Arial"/>
                <w:sz w:val="20"/>
                <w:szCs w:val="20"/>
                <w:lang w:val="en-US"/>
              </w:rPr>
              <w:t xml:space="preserve">38,916,033 </w:t>
            </w:r>
          </w:p>
        </w:tc>
        <w:tc>
          <w:tcPr>
            <w:tcW w:w="1701" w:type="dxa"/>
            <w:vAlign w:val="bottom"/>
            <w:hideMark/>
          </w:tcPr>
          <w:p>
            <w:pPr>
              <w:spacing w:after="0" w:line="240" w:lineRule="auto"/>
              <w:ind w:right="-90"/>
              <w:jc w:val="right"/>
              <w:rPr>
                <w:rFonts w:ascii="Arial Narrow" w:hAnsi="Arial Narrow" w:cs="Arial"/>
                <w:sz w:val="20"/>
                <w:szCs w:val="20"/>
                <w:lang w:val="en-US"/>
              </w:rPr>
            </w:pPr>
            <w:r>
              <w:rPr>
                <w:rFonts w:ascii="Arial Narrow" w:hAnsi="Arial Narrow" w:cs="Arial"/>
                <w:sz w:val="20"/>
                <w:szCs w:val="20"/>
                <w:lang w:val="en-US"/>
              </w:rPr>
              <w:t>3,718,629,967</w:t>
            </w:r>
          </w:p>
        </w:tc>
      </w:tr>
      <w:tr>
        <w:trPr>
          <w:trHeight w:val="207"/>
        </w:trPr>
        <w:tc>
          <w:tcPr>
            <w:tcW w:w="257" w:type="dxa"/>
            <w:vAlign w:val="center"/>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Others (dividend)</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1,089,621,000</w:t>
            </w:r>
          </w:p>
        </w:tc>
        <w:tc>
          <w:tcPr>
            <w:tcW w:w="1559" w:type="dxa"/>
            <w:vAlign w:val="bottom"/>
            <w:hideMark/>
          </w:tcPr>
          <w:p>
            <w:pPr>
              <w:spacing w:after="0" w:line="240" w:lineRule="auto"/>
              <w:ind w:right="-100"/>
              <w:jc w:val="right"/>
              <w:rPr>
                <w:rFonts w:ascii="Arial Narrow" w:hAnsi="Arial Narrow" w:cs="Arial"/>
                <w:sz w:val="20"/>
                <w:szCs w:val="20"/>
                <w:lang w:val="en-US"/>
              </w:rPr>
            </w:pPr>
            <w:r>
              <w:rPr>
                <w:rFonts w:ascii="Arial Narrow" w:hAnsi="Arial Narrow" w:cs="Arial"/>
                <w:sz w:val="20"/>
                <w:szCs w:val="20"/>
                <w:lang w:val="en-US"/>
              </w:rPr>
              <w:t>193,545,404</w:t>
            </w:r>
          </w:p>
        </w:tc>
        <w:tc>
          <w:tcPr>
            <w:tcW w:w="1701" w:type="dxa"/>
            <w:vAlign w:val="bottom"/>
            <w:hideMark/>
          </w:tcPr>
          <w:p>
            <w:pPr>
              <w:spacing w:after="0" w:line="240" w:lineRule="auto"/>
              <w:ind w:right="-90"/>
              <w:jc w:val="right"/>
              <w:rPr>
                <w:rFonts w:ascii="Arial Narrow" w:hAnsi="Arial Narrow" w:cs="Arial"/>
                <w:sz w:val="20"/>
                <w:szCs w:val="20"/>
                <w:lang w:val="en-US"/>
              </w:rPr>
            </w:pPr>
            <w:r>
              <w:rPr>
                <w:rFonts w:ascii="Arial Narrow" w:hAnsi="Arial Narrow" w:cs="Arial"/>
                <w:sz w:val="20"/>
                <w:szCs w:val="20"/>
                <w:lang w:val="en-US"/>
              </w:rPr>
              <w:t>896,075,596</w:t>
            </w:r>
          </w:p>
        </w:tc>
      </w:tr>
      <w:tr>
        <w:trPr>
          <w:trHeight w:val="180"/>
        </w:trPr>
        <w:tc>
          <w:tcPr>
            <w:tcW w:w="3823" w:type="dxa"/>
            <w:gridSpan w:val="2"/>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Charity Fund</w:t>
            </w:r>
          </w:p>
        </w:tc>
        <w:tc>
          <w:tcPr>
            <w:tcW w:w="1701" w:type="dxa"/>
            <w:vAlign w:val="bottom"/>
          </w:tcPr>
          <w:p>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pPr>
              <w:spacing w:after="0" w:line="240" w:lineRule="auto"/>
              <w:ind w:right="-90"/>
              <w:jc w:val="right"/>
              <w:rPr>
                <w:rFonts w:ascii="Arial Narrow" w:hAnsi="Arial Narrow" w:cs="Arial"/>
                <w:sz w:val="20"/>
                <w:szCs w:val="20"/>
                <w:lang w:val="en-US"/>
              </w:rPr>
            </w:pPr>
          </w:p>
        </w:tc>
      </w:tr>
      <w:tr>
        <w:trPr>
          <w:trHeight w:val="153"/>
        </w:trPr>
        <w:tc>
          <w:tcPr>
            <w:tcW w:w="257" w:type="dxa"/>
            <w:vAlign w:val="center"/>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18,027,776,000</w:t>
            </w:r>
          </w:p>
        </w:tc>
        <w:tc>
          <w:tcPr>
            <w:tcW w:w="1559" w:type="dxa"/>
            <w:vAlign w:val="bottom"/>
            <w:hideMark/>
          </w:tcPr>
          <w:p>
            <w:pPr>
              <w:spacing w:after="0" w:line="240" w:lineRule="auto"/>
              <w:ind w:right="-100"/>
              <w:jc w:val="right"/>
              <w:rPr>
                <w:rFonts w:ascii="Arial Narrow" w:hAnsi="Arial Narrow"/>
                <w:sz w:val="20"/>
                <w:szCs w:val="20"/>
                <w:lang w:val="en-US"/>
              </w:rPr>
            </w:pPr>
            <w:r>
              <w:rPr>
                <w:rFonts w:ascii="Arial Narrow" w:hAnsi="Arial Narrow"/>
                <w:sz w:val="20"/>
                <w:szCs w:val="20"/>
                <w:lang w:val="en-US"/>
              </w:rPr>
              <w:t>6,730,729,818</w:t>
            </w:r>
          </w:p>
        </w:tc>
        <w:tc>
          <w:tcPr>
            <w:tcW w:w="1701" w:type="dxa"/>
            <w:vAlign w:val="bottom"/>
            <w:hideMark/>
          </w:tcPr>
          <w:p>
            <w:pPr>
              <w:spacing w:after="0" w:line="240" w:lineRule="auto"/>
              <w:ind w:right="-90"/>
              <w:jc w:val="right"/>
              <w:rPr>
                <w:rFonts w:ascii="Arial Narrow" w:hAnsi="Arial Narrow"/>
                <w:sz w:val="20"/>
                <w:szCs w:val="20"/>
                <w:lang w:val="en-US"/>
              </w:rPr>
            </w:pPr>
            <w:r>
              <w:rPr>
                <w:rFonts w:ascii="Arial Narrow" w:hAnsi="Arial Narrow"/>
                <w:sz w:val="20"/>
                <w:szCs w:val="20"/>
                <w:lang w:val="en-US"/>
              </w:rPr>
              <w:t>11,297,046,182</w:t>
            </w:r>
          </w:p>
        </w:tc>
      </w:tr>
      <w:tr>
        <w:trPr>
          <w:trHeight w:val="162"/>
        </w:trPr>
        <w:tc>
          <w:tcPr>
            <w:tcW w:w="3823" w:type="dxa"/>
            <w:gridSpan w:val="2"/>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Prize Fund</w:t>
            </w:r>
          </w:p>
        </w:tc>
        <w:tc>
          <w:tcPr>
            <w:tcW w:w="1701" w:type="dxa"/>
            <w:vAlign w:val="bottom"/>
          </w:tcPr>
          <w:p>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pPr>
              <w:spacing w:after="0" w:line="240" w:lineRule="auto"/>
              <w:ind w:right="-90"/>
              <w:jc w:val="right"/>
              <w:rPr>
                <w:rFonts w:ascii="Arial Narrow" w:hAnsi="Arial Narrow" w:cs="Arial"/>
                <w:sz w:val="20"/>
                <w:szCs w:val="20"/>
                <w:lang w:val="en-US"/>
              </w:rPr>
            </w:pPr>
          </w:p>
        </w:tc>
      </w:tr>
      <w:tr>
        <w:trPr>
          <w:trHeight w:val="99"/>
        </w:trPr>
        <w:tc>
          <w:tcPr>
            <w:tcW w:w="257" w:type="dxa"/>
            <w:vAlign w:val="center"/>
          </w:tcPr>
          <w:p>
            <w:pPr>
              <w:suppressAutoHyphens/>
              <w:snapToGrid w:val="0"/>
              <w:spacing w:after="0" w:line="240" w:lineRule="auto"/>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27,633,293,000</w:t>
            </w:r>
          </w:p>
        </w:tc>
        <w:tc>
          <w:tcPr>
            <w:tcW w:w="1559" w:type="dxa"/>
            <w:vAlign w:val="bottom"/>
            <w:hideMark/>
          </w:tcPr>
          <w:p>
            <w:pPr>
              <w:spacing w:after="0" w:line="240" w:lineRule="auto"/>
              <w:ind w:right="-100"/>
              <w:jc w:val="right"/>
              <w:rPr>
                <w:rFonts w:ascii="Arial Narrow" w:hAnsi="Arial Narrow"/>
                <w:sz w:val="20"/>
                <w:szCs w:val="20"/>
                <w:lang w:val="en-US"/>
              </w:rPr>
            </w:pPr>
            <w:r>
              <w:rPr>
                <w:rFonts w:ascii="Arial Narrow" w:hAnsi="Arial Narrow"/>
                <w:sz w:val="20"/>
                <w:szCs w:val="20"/>
                <w:lang w:val="en-US"/>
              </w:rPr>
              <w:t>9,808,716,195</w:t>
            </w:r>
          </w:p>
        </w:tc>
        <w:tc>
          <w:tcPr>
            <w:tcW w:w="1701" w:type="dxa"/>
            <w:vAlign w:val="bottom"/>
            <w:hideMark/>
          </w:tcPr>
          <w:p>
            <w:pPr>
              <w:spacing w:after="0" w:line="240" w:lineRule="auto"/>
              <w:ind w:right="-90"/>
              <w:jc w:val="right"/>
              <w:rPr>
                <w:rFonts w:ascii="Arial Narrow" w:hAnsi="Arial Narrow"/>
                <w:sz w:val="20"/>
                <w:szCs w:val="20"/>
                <w:lang w:val="en-US"/>
              </w:rPr>
            </w:pPr>
            <w:r>
              <w:rPr>
                <w:rFonts w:ascii="Arial Narrow" w:hAnsi="Arial Narrow"/>
                <w:sz w:val="20"/>
                <w:szCs w:val="20"/>
                <w:lang w:val="en-US"/>
              </w:rPr>
              <w:t>17,824,576,805</w:t>
            </w:r>
          </w:p>
        </w:tc>
      </w:tr>
      <w:tr>
        <w:trPr>
          <w:trHeight w:val="99"/>
        </w:trPr>
        <w:tc>
          <w:tcPr>
            <w:tcW w:w="257" w:type="dxa"/>
            <w:tcBorders>
              <w:top w:val="nil"/>
              <w:left w:val="nil"/>
              <w:bottom w:val="single" w:sz="4" w:space="0" w:color="auto"/>
              <w:right w:val="nil"/>
            </w:tcBorders>
            <w:vAlign w:val="center"/>
          </w:tcPr>
          <w:p>
            <w:pPr>
              <w:suppressAutoHyphens/>
              <w:snapToGrid w:val="0"/>
              <w:spacing w:after="0" w:line="240" w:lineRule="auto"/>
              <w:rPr>
                <w:rFonts w:ascii="Arial Narrow" w:eastAsia="Times New Roman" w:hAnsi="Arial Narrow" w:cs="Arial"/>
                <w:bCs/>
                <w:sz w:val="20"/>
                <w:szCs w:val="20"/>
                <w:lang w:val="en-US" w:eastAsia="ar-SA"/>
              </w:rPr>
            </w:pPr>
          </w:p>
        </w:tc>
        <w:tc>
          <w:tcPr>
            <w:tcW w:w="3566" w:type="dxa"/>
            <w:tcBorders>
              <w:top w:val="nil"/>
              <w:left w:val="nil"/>
              <w:bottom w:val="single" w:sz="4" w:space="0" w:color="auto"/>
              <w:right w:val="nil"/>
            </w:tcBorders>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Others (dividend)</w:t>
            </w:r>
          </w:p>
        </w:tc>
        <w:tc>
          <w:tcPr>
            <w:tcW w:w="1701" w:type="dxa"/>
            <w:tcBorders>
              <w:top w:val="nil"/>
              <w:left w:val="nil"/>
              <w:bottom w:val="single" w:sz="4" w:space="0" w:color="auto"/>
              <w:right w:val="nil"/>
            </w:tcBorders>
            <w:vAlign w:val="bottom"/>
            <w:hideMark/>
          </w:tcPr>
          <w:p>
            <w:pPr>
              <w:spacing w:after="0" w:line="240" w:lineRule="auto"/>
              <w:ind w:left="-110" w:right="-100"/>
              <w:jc w:val="right"/>
              <w:rPr>
                <w:rFonts w:ascii="Arial Narrow" w:hAnsi="Arial Narrow"/>
                <w:sz w:val="20"/>
                <w:szCs w:val="20"/>
                <w:lang w:val="en-US"/>
              </w:rPr>
            </w:pPr>
            <w:r>
              <w:rPr>
                <w:rFonts w:ascii="Arial Narrow" w:hAnsi="Arial Narrow"/>
                <w:sz w:val="20"/>
                <w:szCs w:val="20"/>
                <w:lang w:val="en-US"/>
              </w:rPr>
              <w:t>138,148,000</w:t>
            </w:r>
          </w:p>
        </w:tc>
        <w:tc>
          <w:tcPr>
            <w:tcW w:w="1559" w:type="dxa"/>
            <w:tcBorders>
              <w:top w:val="nil"/>
              <w:left w:val="nil"/>
              <w:bottom w:val="single" w:sz="4" w:space="0" w:color="auto"/>
              <w:right w:val="nil"/>
            </w:tcBorders>
            <w:vAlign w:val="bottom"/>
            <w:hideMark/>
          </w:tcPr>
          <w:p>
            <w:pPr>
              <w:spacing w:after="0" w:line="240" w:lineRule="auto"/>
              <w:ind w:right="-100"/>
              <w:jc w:val="right"/>
              <w:rPr>
                <w:rFonts w:ascii="Arial Narrow" w:hAnsi="Arial Narrow"/>
                <w:sz w:val="20"/>
                <w:szCs w:val="20"/>
                <w:lang w:val="en-US"/>
              </w:rPr>
            </w:pPr>
            <w:r>
              <w:rPr>
                <w:rFonts w:ascii="Arial Narrow" w:hAnsi="Arial Narrow"/>
                <w:sz w:val="20"/>
                <w:szCs w:val="20"/>
                <w:lang w:val="en-US"/>
              </w:rPr>
              <w:t>50,667,971</w:t>
            </w:r>
          </w:p>
        </w:tc>
        <w:tc>
          <w:tcPr>
            <w:tcW w:w="1701" w:type="dxa"/>
            <w:tcBorders>
              <w:top w:val="nil"/>
              <w:left w:val="nil"/>
              <w:bottom w:val="single" w:sz="4" w:space="0" w:color="auto"/>
              <w:right w:val="nil"/>
            </w:tcBorders>
            <w:vAlign w:val="bottom"/>
            <w:hideMark/>
          </w:tcPr>
          <w:p>
            <w:pPr>
              <w:spacing w:after="0" w:line="240" w:lineRule="auto"/>
              <w:ind w:right="-90"/>
              <w:jc w:val="right"/>
              <w:rPr>
                <w:rFonts w:ascii="Arial Narrow" w:hAnsi="Arial Narrow"/>
                <w:sz w:val="20"/>
                <w:szCs w:val="20"/>
                <w:lang w:val="en-US"/>
              </w:rPr>
            </w:pPr>
            <w:r>
              <w:rPr>
                <w:rFonts w:ascii="Arial Narrow" w:hAnsi="Arial Narrow"/>
                <w:sz w:val="20"/>
                <w:szCs w:val="20"/>
                <w:lang w:val="en-US"/>
              </w:rPr>
              <w:t>87,480,029</w:t>
            </w:r>
          </w:p>
        </w:tc>
      </w:tr>
      <w:tr>
        <w:trPr>
          <w:trHeight w:val="71"/>
        </w:trPr>
        <w:tc>
          <w:tcPr>
            <w:tcW w:w="3823" w:type="dxa"/>
            <w:gridSpan w:val="2"/>
            <w:tcBorders>
              <w:top w:val="single" w:sz="4" w:space="0" w:color="auto"/>
              <w:left w:val="nil"/>
              <w:bottom w:val="double" w:sz="4" w:space="0" w:color="auto"/>
              <w:right w:val="nil"/>
            </w:tcBorders>
            <w:vAlign w:val="center"/>
            <w:hideMark/>
          </w:tcPr>
          <w:p>
            <w:pPr>
              <w:spacing w:after="0" w:line="240" w:lineRule="auto"/>
              <w:ind w:hanging="107"/>
              <w:rPr>
                <w:rFonts w:ascii="Arial Narrow" w:eastAsia="Times New Roman" w:hAnsi="Arial Narrow" w:cs="Arial"/>
                <w:b/>
                <w:sz w:val="20"/>
                <w:szCs w:val="20"/>
                <w:lang w:val="en-US"/>
              </w:rPr>
            </w:pPr>
            <w:r>
              <w:rPr>
                <w:rFonts w:ascii="Arial Narrow" w:eastAsia="Times New Roman" w:hAnsi="Arial Narrow" w:cs="Arial"/>
                <w:b/>
                <w:sz w:val="20"/>
                <w:szCs w:val="20"/>
                <w:lang w:val="en-US"/>
              </w:rPr>
              <w:t>Total</w:t>
            </w:r>
          </w:p>
        </w:tc>
        <w:tc>
          <w:tcPr>
            <w:tcW w:w="1701" w:type="dxa"/>
            <w:tcBorders>
              <w:top w:val="single" w:sz="4" w:space="0" w:color="auto"/>
              <w:left w:val="nil"/>
              <w:bottom w:val="double" w:sz="4" w:space="0" w:color="auto"/>
              <w:right w:val="nil"/>
            </w:tcBorders>
            <w:vAlign w:val="center"/>
            <w:hideMark/>
          </w:tcPr>
          <w:p>
            <w:pPr>
              <w:spacing w:after="0" w:line="240" w:lineRule="auto"/>
              <w:ind w:left="-110" w:right="-100"/>
              <w:jc w:val="right"/>
              <w:rPr>
                <w:rFonts w:ascii="Arial Narrow" w:hAnsi="Arial Narrow"/>
                <w:b/>
                <w:bCs/>
                <w:sz w:val="20"/>
                <w:szCs w:val="20"/>
                <w:lang w:val="en-US"/>
              </w:rPr>
            </w:pPr>
            <w:r>
              <w:rPr>
                <w:rFonts w:ascii="Arial Narrow" w:hAnsi="Arial Narrow"/>
                <w:b/>
                <w:bCs/>
                <w:sz w:val="20"/>
                <w:szCs w:val="20"/>
                <w:lang w:val="en-US"/>
              </w:rPr>
              <w:t xml:space="preserve">55,908,583,000 </w:t>
            </w:r>
          </w:p>
        </w:tc>
        <w:tc>
          <w:tcPr>
            <w:tcW w:w="1559" w:type="dxa"/>
            <w:tcBorders>
              <w:top w:val="single" w:sz="4" w:space="0" w:color="auto"/>
              <w:left w:val="nil"/>
              <w:bottom w:val="double" w:sz="4" w:space="0" w:color="auto"/>
              <w:right w:val="nil"/>
            </w:tcBorders>
            <w:vAlign w:val="center"/>
            <w:hideMark/>
          </w:tcPr>
          <w:p>
            <w:pPr>
              <w:spacing w:after="0" w:line="240" w:lineRule="auto"/>
              <w:ind w:right="-100"/>
              <w:jc w:val="right"/>
              <w:rPr>
                <w:rFonts w:ascii="Arial Narrow" w:hAnsi="Arial Narrow"/>
                <w:b/>
                <w:bCs/>
                <w:sz w:val="20"/>
                <w:szCs w:val="20"/>
                <w:lang w:val="en-US"/>
              </w:rPr>
            </w:pPr>
            <w:r>
              <w:rPr>
                <w:rFonts w:ascii="Arial Narrow" w:hAnsi="Arial Narrow"/>
                <w:b/>
                <w:bCs/>
                <w:sz w:val="20"/>
                <w:szCs w:val="20"/>
                <w:lang w:val="en-US"/>
              </w:rPr>
              <w:t>19,011,833,853</w:t>
            </w:r>
          </w:p>
        </w:tc>
        <w:tc>
          <w:tcPr>
            <w:tcW w:w="1701" w:type="dxa"/>
            <w:tcBorders>
              <w:top w:val="single" w:sz="4" w:space="0" w:color="auto"/>
              <w:left w:val="nil"/>
              <w:bottom w:val="double" w:sz="4" w:space="0" w:color="auto"/>
              <w:right w:val="nil"/>
            </w:tcBorders>
            <w:vAlign w:val="center"/>
            <w:hideMark/>
          </w:tcPr>
          <w:p>
            <w:pPr>
              <w:spacing w:after="0" w:line="240" w:lineRule="auto"/>
              <w:ind w:right="-90"/>
              <w:jc w:val="right"/>
              <w:rPr>
                <w:rFonts w:ascii="Arial Narrow" w:hAnsi="Arial Narrow"/>
                <w:b/>
                <w:bCs/>
                <w:sz w:val="20"/>
                <w:szCs w:val="20"/>
                <w:lang w:val="en-US"/>
              </w:rPr>
            </w:pPr>
            <w:r>
              <w:rPr>
                <w:rFonts w:ascii="Arial Narrow" w:hAnsi="Arial Narrow"/>
                <w:b/>
                <w:bCs/>
                <w:sz w:val="20"/>
                <w:szCs w:val="20"/>
                <w:lang w:val="en-US"/>
              </w:rPr>
              <w:t>36,896,749,147</w:t>
            </w:r>
          </w:p>
        </w:tc>
      </w:tr>
    </w:tbl>
    <w:p>
      <w:pPr>
        <w:spacing w:after="0" w:line="240" w:lineRule="auto"/>
        <w:jc w:val="both"/>
        <w:rPr>
          <w:rFonts w:ascii="Arial" w:hAnsi="Arial" w:cs="Arial"/>
          <w:b/>
          <w:i/>
          <w:sz w:val="18"/>
          <w:szCs w:val="18"/>
        </w:rPr>
      </w:pPr>
      <w:r>
        <w:rPr>
          <w:rFonts w:ascii="Arial Narrow" w:hAnsi="Arial Narrow"/>
          <w:i/>
          <w:sz w:val="18"/>
          <w:szCs w:val="18"/>
        </w:rPr>
        <w:t>Note: Charity Fund MOOE includes Financial Expense and Financial Assistance/Subsidy/Contribution</w:t>
      </w:r>
    </w:p>
    <w:p>
      <w:pPr>
        <w:spacing w:after="0" w:line="240" w:lineRule="auto"/>
        <w:jc w:val="both"/>
        <w:rPr>
          <w:rFonts w:ascii="Arial" w:hAnsi="Arial" w:cs="Arial"/>
          <w:b/>
          <w:sz w:val="18"/>
          <w:szCs w:val="18"/>
        </w:rPr>
      </w:pPr>
    </w:p>
    <w:p>
      <w:pPr>
        <w:spacing w:after="0" w:line="240" w:lineRule="auto"/>
        <w:jc w:val="both"/>
        <w:rPr>
          <w:rFonts w:ascii="Arial" w:hAnsi="Arial" w:cs="Arial"/>
          <w:b/>
          <w:sz w:val="18"/>
          <w:szCs w:val="18"/>
        </w:rPr>
      </w:pPr>
    </w:p>
    <w:p>
      <w:pPr>
        <w:spacing w:after="0" w:line="240" w:lineRule="auto"/>
        <w:jc w:val="both"/>
        <w:rPr>
          <w:rFonts w:ascii="Arial" w:hAnsi="Arial" w:cs="Arial"/>
          <w:b/>
        </w:rPr>
      </w:pPr>
      <w:r>
        <w:rPr>
          <w:rFonts w:ascii="Arial" w:hAnsi="Arial" w:cs="Arial"/>
          <w:b/>
        </w:rPr>
        <w:t>SCOPE OF AUDIT</w:t>
      </w:r>
    </w:p>
    <w:p>
      <w:pPr>
        <w:spacing w:after="0" w:line="240" w:lineRule="auto"/>
        <w:jc w:val="both"/>
        <w:rPr>
          <w:rFonts w:ascii="Arial" w:eastAsia="Times New Roman" w:hAnsi="Arial" w:cs="Arial"/>
          <w:lang w:val="en-US"/>
        </w:rPr>
      </w:pPr>
    </w:p>
    <w:p>
      <w:pPr>
        <w:spacing w:after="0" w:line="240" w:lineRule="auto"/>
        <w:jc w:val="both"/>
        <w:rPr>
          <w:rFonts w:ascii="Arial" w:eastAsia="Times New Roman" w:hAnsi="Arial" w:cs="Arial"/>
          <w:lang w:val="en-US"/>
        </w:rPr>
      </w:pPr>
      <w:r>
        <w:rPr>
          <w:rFonts w:ascii="Arial" w:eastAsia="Times New Roman" w:hAnsi="Arial" w:cs="Arial"/>
          <w:lang w:val="en-US"/>
        </w:rPr>
        <w:t xml:space="preserve">The audit covered the examination, on a test basis, of the accounts, transactions and operations of the PCSO to enable us to express an opinion on the financial statements for the years ended December 31, 2020 and 2019 in accordance with International Standards of Supreme Audit Institutions (ISSAIs).  It was also conducted to determine the PCSO’s compliance with pertinent laws, rules and regulations and adherence to prescribed policies and procedures. </w:t>
      </w:r>
    </w:p>
    <w:p>
      <w:pPr>
        <w:spacing w:after="0" w:line="240" w:lineRule="auto"/>
        <w:ind w:left="360"/>
        <w:jc w:val="both"/>
        <w:rPr>
          <w:rFonts w:ascii="Arial" w:hAnsi="Arial" w:cs="Arial"/>
          <w:sz w:val="18"/>
          <w:szCs w:val="18"/>
        </w:rPr>
      </w:pPr>
    </w:p>
    <w:p>
      <w:pPr>
        <w:spacing w:after="0" w:line="240" w:lineRule="auto"/>
        <w:ind w:left="360"/>
        <w:jc w:val="both"/>
        <w:rPr>
          <w:rFonts w:ascii="Arial" w:hAnsi="Arial" w:cs="Arial"/>
          <w:sz w:val="18"/>
          <w:szCs w:val="18"/>
        </w:rPr>
      </w:pPr>
    </w:p>
    <w:p>
      <w:pPr>
        <w:spacing w:after="0" w:line="240" w:lineRule="auto"/>
        <w:jc w:val="both"/>
        <w:rPr>
          <w:rFonts w:ascii="Arial" w:hAnsi="Arial" w:cs="Arial"/>
          <w:b/>
        </w:rPr>
      </w:pPr>
      <w:r>
        <w:rPr>
          <w:rFonts w:ascii="Arial" w:hAnsi="Arial" w:cs="Arial"/>
          <w:b/>
        </w:rPr>
        <w:lastRenderedPageBreak/>
        <w:t>INDEPENDENT AUDITOR’S REPORT ON THE FINANCIAL STATEMENTS</w:t>
      </w:r>
    </w:p>
    <w:p>
      <w:pPr>
        <w:spacing w:after="0" w:line="240" w:lineRule="auto"/>
        <w:jc w:val="both"/>
        <w:rPr>
          <w:rFonts w:ascii="Arial" w:hAnsi="Arial" w:cs="Arial"/>
          <w:sz w:val="18"/>
          <w:szCs w:val="18"/>
        </w:rPr>
      </w:pPr>
    </w:p>
    <w:p>
      <w:pPr>
        <w:spacing w:after="0" w:line="240" w:lineRule="auto"/>
        <w:jc w:val="both"/>
        <w:rPr>
          <w:rFonts w:ascii="Arial" w:eastAsia="Arial" w:hAnsi="Arial" w:cs="Arial"/>
        </w:rPr>
      </w:pPr>
      <w:r>
        <w:rPr>
          <w:rFonts w:ascii="Arial" w:eastAsia="Arial" w:hAnsi="Arial" w:cs="Arial"/>
        </w:rPr>
        <w:t>We rendered a qualified opinion on the fairness of presentation of the financial statements of the PCSO in view of the following:</w:t>
      </w:r>
    </w:p>
    <w:p>
      <w:pPr>
        <w:spacing w:after="0" w:line="240" w:lineRule="auto"/>
        <w:ind w:right="-288"/>
        <w:jc w:val="both"/>
        <w:rPr>
          <w:rFonts w:ascii="Arial" w:eastAsia="Arial" w:hAnsi="Arial" w:cs="Arial"/>
          <w:sz w:val="18"/>
          <w:szCs w:val="18"/>
        </w:rPr>
      </w:pPr>
    </w:p>
    <w:p>
      <w:pPr>
        <w:pStyle w:val="ListParagraph"/>
        <w:numPr>
          <w:ilvl w:val="0"/>
          <w:numId w:val="2"/>
        </w:numPr>
        <w:ind w:left="709" w:hanging="709"/>
        <w:jc w:val="both"/>
        <w:rPr>
          <w:rFonts w:ascii="Arial" w:hAnsi="Arial" w:cs="Arial"/>
          <w:bCs/>
          <w:sz w:val="22"/>
          <w:szCs w:val="22"/>
        </w:rPr>
      </w:pPr>
      <w:r>
        <w:rPr>
          <w:rFonts w:ascii="Arial" w:hAnsi="Arial" w:cs="Arial"/>
          <w:bCs/>
          <w:sz w:val="22"/>
          <w:szCs w:val="22"/>
        </w:rPr>
        <w:t xml:space="preserve">The </w:t>
      </w:r>
      <w:r>
        <w:rPr>
          <w:rFonts w:ascii="Arial" w:hAnsi="Arial" w:cs="Arial"/>
          <w:sz w:val="22"/>
          <w:szCs w:val="22"/>
          <w:lang w:eastAsia="ar-SA"/>
        </w:rPr>
        <w:t xml:space="preserve">inclusion of an accrual for the 2020 Performance-Based Bonus (PBB) in the total amount of P24.504 million despite the absence of legal basis, hence not a valid obligation, resulted in the overstatement of the Financial Liabilities-Accounts Payable (FL-AP) and Other Bonuses and Allowances accounts by the same amount. Likewise, the </w:t>
      </w:r>
      <w:r>
        <w:rPr>
          <w:rFonts w:ascii="Arial" w:hAnsi="Arial" w:cs="Arial"/>
          <w:bCs/>
          <w:sz w:val="22"/>
          <w:szCs w:val="22"/>
        </w:rPr>
        <w:t xml:space="preserve">faithful representation in the financial statements as of December 31, 2020 of the FL-AP account amounting to P8.488 billion could not be established due to the following, contrary to Qualitative Characteristic (QC)12, QC15 and QC26 of the Conceptual Framework for General Purpose Financial Reporting (CFGPFR) and Paragraph 15 of the Philippine Accounting Standards (PAS) 1: </w:t>
      </w:r>
    </w:p>
    <w:p>
      <w:pPr>
        <w:pStyle w:val="ListParagraph"/>
        <w:ind w:left="1276"/>
        <w:jc w:val="both"/>
        <w:rPr>
          <w:rFonts w:ascii="Arial" w:hAnsi="Arial" w:cs="Arial"/>
          <w:bCs/>
          <w:sz w:val="22"/>
          <w:szCs w:val="22"/>
        </w:rPr>
      </w:pPr>
    </w:p>
    <w:p>
      <w:pPr>
        <w:pStyle w:val="ListParagraph"/>
        <w:numPr>
          <w:ilvl w:val="1"/>
          <w:numId w:val="3"/>
        </w:numPr>
        <w:ind w:left="1276" w:hanging="567"/>
        <w:jc w:val="both"/>
        <w:rPr>
          <w:rFonts w:ascii="Arial" w:hAnsi="Arial" w:cs="Arial"/>
          <w:bCs/>
          <w:sz w:val="22"/>
          <w:szCs w:val="22"/>
        </w:rPr>
      </w:pPr>
      <w:r>
        <w:rPr>
          <w:rFonts w:ascii="Arial" w:hAnsi="Arial" w:cs="Arial"/>
          <w:sz w:val="22"/>
          <w:szCs w:val="22"/>
        </w:rPr>
        <w:t>A discrepancy of P133.991 million existed between the balances of the Vouchers Payable – Charity Fund (VP-CF) account per General Ledger (GL) of P1,114.104 million and per supporting schedules of P980.113 million;</w:t>
      </w:r>
    </w:p>
    <w:p>
      <w:pPr>
        <w:pStyle w:val="ListParagraph"/>
        <w:ind w:left="1276"/>
        <w:jc w:val="both"/>
        <w:rPr>
          <w:rFonts w:ascii="Arial" w:hAnsi="Arial" w:cs="Arial"/>
          <w:bCs/>
          <w:sz w:val="22"/>
          <w:szCs w:val="22"/>
        </w:rPr>
      </w:pPr>
    </w:p>
    <w:p>
      <w:pPr>
        <w:pStyle w:val="ListParagraph"/>
        <w:numPr>
          <w:ilvl w:val="1"/>
          <w:numId w:val="3"/>
        </w:numPr>
        <w:ind w:left="1276" w:hanging="567"/>
        <w:jc w:val="both"/>
        <w:rPr>
          <w:rFonts w:ascii="Arial" w:hAnsi="Arial" w:cs="Arial"/>
          <w:bCs/>
          <w:sz w:val="22"/>
          <w:szCs w:val="22"/>
        </w:rPr>
      </w:pPr>
      <w:r>
        <w:rPr>
          <w:rFonts w:ascii="Arial" w:hAnsi="Arial" w:cs="Arial"/>
          <w:sz w:val="22"/>
          <w:szCs w:val="22"/>
        </w:rPr>
        <w:t>Non-maintenance of Subsidiary Ledger (SL) for each creditor that would support the GL balances as of December 31, 2020 of the VP-CF account amounting to P1,114.104 million as well as the AP-Miscellaneous account in the amount of P6.976 billion; and</w:t>
      </w:r>
    </w:p>
    <w:p>
      <w:pPr>
        <w:pStyle w:val="ListParagraph"/>
        <w:rPr>
          <w:rFonts w:ascii="Arial" w:hAnsi="Arial" w:cs="Arial"/>
          <w:bCs/>
          <w:sz w:val="22"/>
          <w:szCs w:val="22"/>
        </w:rPr>
      </w:pPr>
    </w:p>
    <w:p>
      <w:pPr>
        <w:pStyle w:val="ListParagraph"/>
        <w:numPr>
          <w:ilvl w:val="1"/>
          <w:numId w:val="3"/>
        </w:numPr>
        <w:ind w:left="1276" w:hanging="567"/>
        <w:jc w:val="both"/>
        <w:rPr>
          <w:rFonts w:ascii="Arial" w:hAnsi="Arial" w:cs="Arial"/>
          <w:bCs/>
          <w:sz w:val="22"/>
          <w:szCs w:val="22"/>
        </w:rPr>
      </w:pPr>
      <w:r>
        <w:rPr>
          <w:rFonts w:ascii="Arial" w:hAnsi="Arial" w:cs="Arial"/>
          <w:sz w:val="22"/>
          <w:szCs w:val="22"/>
        </w:rPr>
        <w:lastRenderedPageBreak/>
        <w:t>Existence of P127.647 million and P2.195 billion liabilities under the VP-CF and AP-Miscellaneous accounts, respectively, that remained outstanding for more than two years, against which no actual claims had been filed.</w:t>
      </w:r>
    </w:p>
    <w:p>
      <w:pPr>
        <w:pStyle w:val="ListParagraph"/>
        <w:jc w:val="both"/>
        <w:rPr>
          <w:rFonts w:ascii="Arial" w:hAnsi="Arial" w:cs="Arial"/>
          <w:bCs/>
          <w:sz w:val="22"/>
          <w:szCs w:val="22"/>
        </w:rPr>
      </w:pPr>
    </w:p>
    <w:p>
      <w:pPr>
        <w:pStyle w:val="ListParagraph"/>
        <w:numPr>
          <w:ilvl w:val="0"/>
          <w:numId w:val="2"/>
        </w:numPr>
        <w:ind w:left="709" w:hanging="697"/>
        <w:jc w:val="both"/>
        <w:rPr>
          <w:rFonts w:ascii="Arial" w:hAnsi="Arial" w:cs="Arial"/>
          <w:bCs/>
          <w:iCs/>
          <w:color w:val="000000" w:themeColor="text1"/>
          <w:sz w:val="22"/>
          <w:szCs w:val="22"/>
        </w:rPr>
      </w:pPr>
      <w:r>
        <w:rPr>
          <w:rFonts w:ascii="Arial" w:hAnsi="Arial" w:cs="Arial"/>
          <w:bCs/>
          <w:iCs/>
          <w:color w:val="000000" w:themeColor="text1"/>
          <w:sz w:val="22"/>
          <w:szCs w:val="22"/>
        </w:rPr>
        <w:t>The faithful representation in the financial statements of the balance of the Receivables - Accounts Receivable (AR) account with carrying amount of P6.297 billion as of December 31, 2020 cannot be ascertained in view of: (a) f</w:t>
      </w:r>
      <w:r>
        <w:rPr>
          <w:rFonts w:ascii="Arial" w:hAnsi="Arial" w:cs="Arial"/>
          <w:color w:val="000000" w:themeColor="text1"/>
          <w:sz w:val="22"/>
          <w:szCs w:val="22"/>
          <w:lang w:eastAsia="ar-SA"/>
        </w:rPr>
        <w:t xml:space="preserve">our (4) AR sub-accounts for the National Capital Region (NCR) had abnormal (credit) GL balances totaling P578.541 million; (b) balances between the GL and the submitted Aging of AR account had discrepancies of P97.285 million; and (c) four (4) AR sub-accounts totaling P47.467 million were not properly supported with complete SLs and schedules, </w:t>
      </w:r>
      <w:r>
        <w:rPr>
          <w:rFonts w:ascii="Arial" w:hAnsi="Arial" w:cs="Arial"/>
          <w:bCs/>
          <w:iCs/>
          <w:color w:val="000000" w:themeColor="text1"/>
          <w:sz w:val="22"/>
          <w:szCs w:val="22"/>
        </w:rPr>
        <w:t xml:space="preserve">contrary to </w:t>
      </w:r>
      <w:r>
        <w:rPr>
          <w:rFonts w:ascii="Arial" w:hAnsi="Arial" w:cs="Arial"/>
          <w:color w:val="000000" w:themeColor="text1"/>
          <w:sz w:val="22"/>
          <w:szCs w:val="22"/>
        </w:rPr>
        <w:t xml:space="preserve">Paragraph 15 of PAS 1 and </w:t>
      </w:r>
      <w:r>
        <w:rPr>
          <w:rFonts w:ascii="Arial" w:eastAsiaTheme="minorHAnsi" w:hAnsi="Arial" w:cs="Arial"/>
          <w:iCs/>
          <w:color w:val="000000" w:themeColor="text1"/>
          <w:sz w:val="22"/>
          <w:szCs w:val="22"/>
        </w:rPr>
        <w:t xml:space="preserve">QC26 of </w:t>
      </w:r>
      <w:r>
        <w:rPr>
          <w:rFonts w:ascii="Arial" w:hAnsi="Arial" w:cs="Arial"/>
          <w:bCs/>
          <w:color w:val="000000" w:themeColor="text1"/>
          <w:sz w:val="22"/>
          <w:szCs w:val="22"/>
        </w:rPr>
        <w:t>CFGPFR</w:t>
      </w:r>
      <w:r>
        <w:rPr>
          <w:rFonts w:ascii="Arial" w:hAnsi="Arial" w:cs="Arial"/>
          <w:color w:val="000000" w:themeColor="text1"/>
          <w:sz w:val="22"/>
          <w:szCs w:val="22"/>
        </w:rPr>
        <w:t>.</w:t>
      </w:r>
      <w:r>
        <w:rPr>
          <w:rFonts w:ascii="Arial" w:hAnsi="Arial" w:cs="Arial"/>
          <w:bCs/>
          <w:iCs/>
          <w:color w:val="000000" w:themeColor="text1"/>
          <w:sz w:val="22"/>
          <w:szCs w:val="22"/>
        </w:rPr>
        <w:t xml:space="preserve"> </w:t>
      </w:r>
    </w:p>
    <w:p>
      <w:pPr>
        <w:pStyle w:val="ListParagraph"/>
        <w:ind w:left="0"/>
        <w:contextualSpacing/>
        <w:jc w:val="both"/>
        <w:rPr>
          <w:rFonts w:ascii="Arial" w:hAnsi="Arial" w:cs="Arial"/>
          <w:bCs/>
          <w:sz w:val="22"/>
          <w:szCs w:val="22"/>
        </w:rPr>
      </w:pPr>
    </w:p>
    <w:p>
      <w:pPr>
        <w:pStyle w:val="ListParagraph"/>
        <w:numPr>
          <w:ilvl w:val="0"/>
          <w:numId w:val="2"/>
        </w:numPr>
        <w:ind w:left="720" w:hanging="720"/>
        <w:jc w:val="both"/>
        <w:rPr>
          <w:rFonts w:ascii="Arial" w:hAnsi="Arial" w:cs="Arial"/>
          <w:color w:val="000000" w:themeColor="text1"/>
          <w:sz w:val="22"/>
          <w:szCs w:val="22"/>
        </w:rPr>
      </w:pPr>
      <w:r>
        <w:rPr>
          <w:rFonts w:ascii="Arial" w:hAnsi="Arial" w:cs="Arial"/>
          <w:color w:val="000000" w:themeColor="text1"/>
          <w:sz w:val="22"/>
          <w:szCs w:val="22"/>
        </w:rPr>
        <w:t xml:space="preserve">The faithful representation in the financial statements of the balance of the Cash and Cash Equivalents account in the amount of P14.206 billion as of December 31, 2020 was not established due to the following, contrary to Paragraph 15 of PAS 1 and QC12 of the </w:t>
      </w:r>
      <w:r>
        <w:rPr>
          <w:rFonts w:ascii="Arial" w:hAnsi="Arial" w:cs="Arial"/>
          <w:bCs/>
          <w:color w:val="000000" w:themeColor="text1"/>
          <w:sz w:val="22"/>
          <w:szCs w:val="22"/>
        </w:rPr>
        <w:t>CFGPFR</w:t>
      </w:r>
      <w:r>
        <w:rPr>
          <w:rFonts w:ascii="Arial" w:hAnsi="Arial" w:cs="Arial"/>
          <w:color w:val="000000" w:themeColor="text1"/>
          <w:sz w:val="22"/>
          <w:szCs w:val="22"/>
        </w:rPr>
        <w:t>:</w:t>
      </w:r>
    </w:p>
    <w:p>
      <w:pPr>
        <w:pStyle w:val="ListParagraph"/>
        <w:ind w:left="576"/>
        <w:jc w:val="both"/>
        <w:rPr>
          <w:rFonts w:ascii="Arial" w:hAnsi="Arial" w:cs="Arial"/>
          <w:color w:val="000000" w:themeColor="text1"/>
          <w:sz w:val="22"/>
          <w:szCs w:val="22"/>
        </w:rPr>
      </w:pPr>
    </w:p>
    <w:p>
      <w:pPr>
        <w:pStyle w:val="ListParagraph"/>
        <w:numPr>
          <w:ilvl w:val="0"/>
          <w:numId w:val="4"/>
        </w:numPr>
        <w:ind w:left="1276" w:hanging="567"/>
        <w:jc w:val="both"/>
        <w:rPr>
          <w:rFonts w:ascii="Arial" w:hAnsi="Arial" w:cs="Arial"/>
          <w:color w:val="000000" w:themeColor="text1"/>
          <w:sz w:val="22"/>
          <w:szCs w:val="22"/>
        </w:rPr>
      </w:pPr>
      <w:r>
        <w:rPr>
          <w:rFonts w:ascii="Arial" w:hAnsi="Arial" w:cs="Arial"/>
          <w:color w:val="000000" w:themeColor="text1"/>
          <w:sz w:val="22"/>
          <w:szCs w:val="22"/>
        </w:rPr>
        <w:t>Discrepancies of P23.778 million and P46.930 million between the results of confirmation of the active bank accounts maintained for the Operating Fund (OF) &amp; Main Account (MA) and the Charity Fund (CF) &amp; Prize Fund (PF), respectively, and the corresponding balances of the subject bank accounts per GL as of December 31, 2020;</w:t>
      </w:r>
    </w:p>
    <w:p>
      <w:pPr>
        <w:pStyle w:val="ListParagraph"/>
        <w:ind w:left="1276" w:hanging="567"/>
        <w:jc w:val="both"/>
        <w:rPr>
          <w:rFonts w:ascii="Arial" w:hAnsi="Arial" w:cs="Arial"/>
          <w:color w:val="000000" w:themeColor="text1"/>
          <w:sz w:val="22"/>
          <w:szCs w:val="22"/>
        </w:rPr>
      </w:pPr>
    </w:p>
    <w:p>
      <w:pPr>
        <w:pStyle w:val="Title"/>
        <w:numPr>
          <w:ilvl w:val="0"/>
          <w:numId w:val="4"/>
        </w:numPr>
        <w:ind w:left="1276" w:hanging="567"/>
        <w:jc w:val="both"/>
        <w:rPr>
          <w:rFonts w:ascii="Arial" w:hAnsi="Arial" w:cs="Arial"/>
          <w:b w:val="0"/>
          <w:color w:val="000000" w:themeColor="text1"/>
          <w:sz w:val="22"/>
          <w:szCs w:val="22"/>
        </w:rPr>
      </w:pPr>
      <w:r>
        <w:rPr>
          <w:rFonts w:ascii="Arial" w:hAnsi="Arial" w:cs="Arial"/>
          <w:b w:val="0"/>
          <w:color w:val="000000" w:themeColor="text1"/>
          <w:sz w:val="22"/>
          <w:szCs w:val="22"/>
        </w:rPr>
        <w:lastRenderedPageBreak/>
        <w:t xml:space="preserve">Journal Entry Vouchers (JEVs) effecting the adjusting entries totaling P59.681 million representing prior years’ book reconciling items noted in the bank reconciliation statements had incomplete and/or no supporting documents, contrary to QC26 of the </w:t>
      </w:r>
      <w:r>
        <w:rPr>
          <w:rFonts w:ascii="Arial" w:hAnsi="Arial" w:cs="Arial"/>
          <w:b w:val="0"/>
          <w:bCs/>
          <w:color w:val="000000" w:themeColor="text1"/>
          <w:sz w:val="22"/>
          <w:szCs w:val="22"/>
        </w:rPr>
        <w:t>CFGPF</w:t>
      </w:r>
      <w:r>
        <w:rPr>
          <w:rFonts w:ascii="Arial" w:hAnsi="Arial" w:cs="Arial"/>
          <w:b w:val="0"/>
          <w:color w:val="000000" w:themeColor="text1"/>
          <w:sz w:val="22"/>
          <w:szCs w:val="22"/>
        </w:rPr>
        <w:t>R; and</w:t>
      </w:r>
    </w:p>
    <w:p>
      <w:pPr>
        <w:pStyle w:val="ListParagraph"/>
        <w:ind w:left="1276" w:hanging="567"/>
        <w:rPr>
          <w:rFonts w:ascii="Arial" w:eastAsia="Calibri" w:hAnsi="Arial" w:cs="Arial"/>
          <w:color w:val="000000" w:themeColor="text1"/>
          <w:sz w:val="22"/>
          <w:szCs w:val="22"/>
        </w:rPr>
      </w:pPr>
    </w:p>
    <w:p>
      <w:pPr>
        <w:pStyle w:val="ListParagraph"/>
        <w:numPr>
          <w:ilvl w:val="0"/>
          <w:numId w:val="4"/>
        </w:numPr>
        <w:ind w:left="1276" w:hanging="567"/>
        <w:jc w:val="both"/>
        <w:rPr>
          <w:rFonts w:ascii="Arial" w:hAnsi="Arial" w:cs="Arial"/>
          <w:color w:val="000000" w:themeColor="text1"/>
          <w:sz w:val="22"/>
          <w:szCs w:val="22"/>
        </w:rPr>
      </w:pPr>
      <w:r>
        <w:rPr>
          <w:rFonts w:ascii="Arial" w:eastAsia="Calibri" w:hAnsi="Arial" w:cs="Arial"/>
          <w:color w:val="000000" w:themeColor="text1"/>
          <w:sz w:val="22"/>
          <w:szCs w:val="22"/>
        </w:rPr>
        <w:t xml:space="preserve">Three (3) bank accounts maintained with the different depository banks for the various PCSO Branches and Head Office, which were already closed per bank confirmation </w:t>
      </w:r>
      <w:r>
        <w:rPr>
          <w:rFonts w:ascii="Arial" w:hAnsi="Arial" w:cs="Arial"/>
          <w:color w:val="000000" w:themeColor="text1"/>
          <w:sz w:val="22"/>
          <w:szCs w:val="22"/>
        </w:rPr>
        <w:t xml:space="preserve">have remaining </w:t>
      </w:r>
      <w:r>
        <w:rPr>
          <w:rFonts w:ascii="Arial" w:eastAsia="Calibri" w:hAnsi="Arial" w:cs="Arial"/>
          <w:color w:val="000000" w:themeColor="text1"/>
          <w:sz w:val="22"/>
          <w:szCs w:val="22"/>
        </w:rPr>
        <w:t xml:space="preserve">net abnormal or negative book balance of P20.418 million, </w:t>
      </w:r>
      <w:r>
        <w:rPr>
          <w:rFonts w:ascii="Arial" w:hAnsi="Arial" w:cs="Arial"/>
          <w:color w:val="000000" w:themeColor="text1"/>
          <w:sz w:val="22"/>
          <w:szCs w:val="22"/>
        </w:rPr>
        <w:t>which reduced the balance of the Cash in Bank account presented in the financial statements as of December 31, 2020 by the same amount.</w:t>
      </w:r>
    </w:p>
    <w:p>
      <w:pPr>
        <w:pStyle w:val="ListParagraph"/>
        <w:ind w:left="0"/>
        <w:contextualSpacing/>
        <w:jc w:val="both"/>
        <w:rPr>
          <w:rFonts w:ascii="Arial" w:hAnsi="Arial" w:cs="Arial"/>
          <w:bCs/>
          <w:sz w:val="22"/>
          <w:szCs w:val="22"/>
        </w:rPr>
      </w:pPr>
    </w:p>
    <w:p>
      <w:pPr>
        <w:pStyle w:val="ListParagraph"/>
        <w:numPr>
          <w:ilvl w:val="0"/>
          <w:numId w:val="11"/>
        </w:numPr>
        <w:ind w:left="709" w:hanging="709"/>
        <w:jc w:val="both"/>
        <w:rPr>
          <w:rFonts w:ascii="Arial" w:hAnsi="Arial" w:cs="Arial"/>
          <w:sz w:val="22"/>
          <w:szCs w:val="22"/>
        </w:rPr>
      </w:pPr>
      <w:r>
        <w:rPr>
          <w:rFonts w:ascii="Arial" w:hAnsi="Arial" w:cs="Arial"/>
          <w:sz w:val="22"/>
          <w:szCs w:val="22"/>
        </w:rPr>
        <w:t xml:space="preserve">The undercollection of the guaranteed shares of the PCSO from the sales of the Instant Sweepstakes tickets for CY 2020 amounting to </w:t>
      </w:r>
      <w:r>
        <w:rPr>
          <w:rFonts w:ascii="Arial" w:hAnsi="Arial" w:cs="Arial"/>
          <w:iCs/>
          <w:sz w:val="22"/>
          <w:szCs w:val="22"/>
        </w:rPr>
        <w:t xml:space="preserve">P62.087 million was not recognized in the books resulting in the understatement of the AR and Income accounts by the same amount, </w:t>
      </w:r>
      <w:r>
        <w:rPr>
          <w:rFonts w:ascii="Arial" w:hAnsi="Arial" w:cs="Arial"/>
          <w:sz w:val="22"/>
          <w:szCs w:val="22"/>
        </w:rPr>
        <w:t xml:space="preserve">contrary to Paragraphs 4.4 and 4.44 of </w:t>
      </w:r>
      <w:r>
        <w:rPr>
          <w:rFonts w:ascii="Arial" w:hAnsi="Arial" w:cs="Arial"/>
          <w:bCs/>
          <w:color w:val="000000" w:themeColor="text1"/>
          <w:sz w:val="22"/>
          <w:szCs w:val="22"/>
        </w:rPr>
        <w:t>CFGPFR.</w:t>
      </w:r>
    </w:p>
    <w:p>
      <w:pPr>
        <w:pStyle w:val="ListParagraph"/>
        <w:jc w:val="both"/>
        <w:rPr>
          <w:rFonts w:ascii="Arial" w:hAnsi="Arial" w:cs="Arial"/>
          <w:bCs/>
          <w:sz w:val="22"/>
          <w:szCs w:val="22"/>
        </w:rPr>
      </w:pPr>
    </w:p>
    <w:p>
      <w:pPr>
        <w:pStyle w:val="NoSpacing"/>
        <w:jc w:val="both"/>
        <w:rPr>
          <w:rFonts w:ascii="Arial" w:hAnsi="Arial" w:cs="Arial"/>
          <w:bCs/>
        </w:rPr>
      </w:pPr>
      <w:r>
        <w:rPr>
          <w:rFonts w:ascii="Arial" w:hAnsi="Arial" w:cs="Arial"/>
          <w:bCs/>
        </w:rPr>
        <w:t>For the afore-stated observations, which caused the issuance of a qualified opinion, we recommended that Management:</w:t>
      </w:r>
    </w:p>
    <w:p>
      <w:pPr>
        <w:spacing w:after="0" w:line="240" w:lineRule="auto"/>
        <w:jc w:val="both"/>
        <w:rPr>
          <w:rFonts w:ascii="Arial" w:hAnsi="Arial" w:cs="Arial"/>
          <w:bCs/>
        </w:rPr>
      </w:pPr>
    </w:p>
    <w:p>
      <w:pPr>
        <w:pStyle w:val="ListParagraph"/>
        <w:numPr>
          <w:ilvl w:val="1"/>
          <w:numId w:val="5"/>
        </w:numPr>
        <w:jc w:val="both"/>
        <w:rPr>
          <w:rFonts w:ascii="Arial" w:hAnsi="Arial" w:cs="Arial"/>
          <w:color w:val="000000" w:themeColor="text1"/>
          <w:sz w:val="22"/>
          <w:szCs w:val="22"/>
        </w:rPr>
      </w:pPr>
      <w:r>
        <w:rPr>
          <w:rFonts w:ascii="Arial" w:hAnsi="Arial" w:cs="Arial"/>
          <w:color w:val="000000" w:themeColor="text1"/>
          <w:sz w:val="22"/>
          <w:szCs w:val="22"/>
        </w:rPr>
        <w:t xml:space="preserve">Direct the </w:t>
      </w:r>
      <w:r>
        <w:rPr>
          <w:rFonts w:ascii="Arial" w:eastAsia="Calibri" w:hAnsi="Arial" w:cs="Arial"/>
          <w:sz w:val="22"/>
          <w:szCs w:val="22"/>
        </w:rPr>
        <w:t>Accounting and Budget Department (</w:t>
      </w:r>
      <w:r>
        <w:rPr>
          <w:rFonts w:ascii="Arial" w:hAnsi="Arial" w:cs="Arial"/>
          <w:color w:val="000000" w:themeColor="text1"/>
          <w:sz w:val="22"/>
          <w:szCs w:val="22"/>
        </w:rPr>
        <w:t>ABD) and Charity Assistance Department (CAD) personnel to conduct immediate reconciliation of their records in order to determine the cause/s of the noted discrepancy of P133.991 million and effect necessary adjustment or correction in the affected records.</w:t>
      </w:r>
    </w:p>
    <w:p>
      <w:pPr>
        <w:pStyle w:val="ListParagraph"/>
        <w:jc w:val="both"/>
        <w:rPr>
          <w:rFonts w:ascii="Arial" w:hAnsi="Arial" w:cs="Arial"/>
          <w:color w:val="000000" w:themeColor="text1"/>
          <w:sz w:val="22"/>
          <w:szCs w:val="22"/>
        </w:rPr>
      </w:pPr>
    </w:p>
    <w:p>
      <w:pPr>
        <w:pStyle w:val="ListParagraph"/>
        <w:numPr>
          <w:ilvl w:val="1"/>
          <w:numId w:val="5"/>
        </w:numPr>
        <w:jc w:val="both"/>
        <w:rPr>
          <w:rFonts w:ascii="Arial" w:hAnsi="Arial" w:cs="Arial"/>
          <w:bCs/>
          <w:sz w:val="22"/>
          <w:szCs w:val="22"/>
        </w:rPr>
      </w:pPr>
      <w:r>
        <w:rPr>
          <w:rFonts w:ascii="Arial" w:eastAsia="Calibri" w:hAnsi="Arial" w:cs="Arial"/>
          <w:sz w:val="22"/>
          <w:szCs w:val="22"/>
        </w:rPr>
        <w:t xml:space="preserve">Direct the ABD to: </w:t>
      </w:r>
    </w:p>
    <w:p>
      <w:pPr>
        <w:pStyle w:val="ListParagraph"/>
        <w:jc w:val="both"/>
        <w:rPr>
          <w:rFonts w:ascii="Arial" w:eastAsia="Calibri" w:hAnsi="Arial" w:cs="Arial"/>
          <w:sz w:val="22"/>
          <w:szCs w:val="22"/>
        </w:rPr>
      </w:pPr>
    </w:p>
    <w:p>
      <w:pPr>
        <w:pStyle w:val="ListParagraph"/>
        <w:numPr>
          <w:ilvl w:val="0"/>
          <w:numId w:val="6"/>
        </w:numPr>
        <w:ind w:left="1276" w:hanging="567"/>
        <w:contextualSpacing/>
        <w:jc w:val="both"/>
        <w:rPr>
          <w:rFonts w:ascii="Arial" w:hAnsi="Arial" w:cs="Arial"/>
          <w:bCs/>
          <w:sz w:val="22"/>
          <w:szCs w:val="22"/>
        </w:rPr>
      </w:pPr>
      <w:r>
        <w:rPr>
          <w:rFonts w:ascii="Arial" w:hAnsi="Arial" w:cs="Arial"/>
          <w:bCs/>
          <w:sz w:val="22"/>
          <w:szCs w:val="22"/>
        </w:rPr>
        <w:t>Reverse the accrual made for the 2020 PBB totaling P24.504 million and, henceforth e</w:t>
      </w:r>
      <w:r>
        <w:rPr>
          <w:rFonts w:ascii="Arial" w:hAnsi="Arial" w:cs="Arial"/>
          <w:sz w:val="22"/>
          <w:szCs w:val="22"/>
        </w:rPr>
        <w:t xml:space="preserve">nsure that recorded liabilities are bonafide obligations of the PCSO and properly authorized in accordance with </w:t>
      </w:r>
      <w:r>
        <w:rPr>
          <w:rFonts w:ascii="Arial" w:hAnsi="Arial" w:cs="Arial"/>
          <w:bCs/>
          <w:sz w:val="22"/>
          <w:szCs w:val="22"/>
        </w:rPr>
        <w:t>Paragraph 4.46 of the CFGPFR.</w:t>
      </w:r>
    </w:p>
    <w:p>
      <w:pPr>
        <w:pStyle w:val="ListParagraph"/>
        <w:ind w:left="1080"/>
        <w:contextualSpacing/>
        <w:jc w:val="both"/>
        <w:rPr>
          <w:rFonts w:ascii="Arial" w:hAnsi="Arial" w:cs="Arial"/>
          <w:bCs/>
          <w:sz w:val="22"/>
          <w:szCs w:val="22"/>
        </w:rPr>
      </w:pPr>
    </w:p>
    <w:p>
      <w:pPr>
        <w:pStyle w:val="ListParagraph"/>
        <w:numPr>
          <w:ilvl w:val="0"/>
          <w:numId w:val="6"/>
        </w:numPr>
        <w:ind w:left="1276" w:hanging="567"/>
        <w:contextualSpacing/>
        <w:jc w:val="both"/>
        <w:rPr>
          <w:rFonts w:ascii="Arial" w:eastAsia="Calibri" w:hAnsi="Arial" w:cs="Arial"/>
          <w:color w:val="000000" w:themeColor="text1"/>
          <w:sz w:val="22"/>
          <w:szCs w:val="22"/>
        </w:rPr>
      </w:pPr>
      <w:r>
        <w:rPr>
          <w:rFonts w:ascii="Arial" w:hAnsi="Arial" w:cs="Arial"/>
          <w:color w:val="000000" w:themeColor="text1"/>
          <w:sz w:val="22"/>
          <w:szCs w:val="22"/>
        </w:rPr>
        <w:t>Maintain an SL for each creditor to support the P1,114.104 million and P6.976 billion GL balances of the VP-CF and AP-Miscellaneous accounts, respectively.</w:t>
      </w:r>
    </w:p>
    <w:p>
      <w:pPr>
        <w:spacing w:after="0" w:line="240" w:lineRule="auto"/>
        <w:ind w:left="720" w:hanging="720"/>
        <w:contextualSpacing/>
        <w:jc w:val="both"/>
        <w:rPr>
          <w:rFonts w:ascii="Arial" w:hAnsi="Arial" w:cs="Arial"/>
          <w:bCs/>
        </w:rPr>
      </w:pPr>
    </w:p>
    <w:p>
      <w:pPr>
        <w:pStyle w:val="ListParagraph"/>
        <w:numPr>
          <w:ilvl w:val="0"/>
          <w:numId w:val="6"/>
        </w:numPr>
        <w:ind w:left="1276" w:hanging="567"/>
        <w:contextualSpacing/>
        <w:jc w:val="both"/>
        <w:rPr>
          <w:rFonts w:ascii="Arial" w:hAnsi="Arial" w:cs="Arial"/>
          <w:bCs/>
          <w:sz w:val="22"/>
          <w:szCs w:val="22"/>
        </w:rPr>
      </w:pPr>
      <w:r>
        <w:rPr>
          <w:rFonts w:ascii="Arial" w:hAnsi="Arial" w:cs="Arial"/>
          <w:color w:val="000000" w:themeColor="text1"/>
          <w:sz w:val="22"/>
          <w:szCs w:val="22"/>
        </w:rPr>
        <w:t>E</w:t>
      </w:r>
      <w:r>
        <w:rPr>
          <w:rFonts w:ascii="Arial" w:hAnsi="Arial" w:cs="Arial"/>
          <w:sz w:val="22"/>
          <w:szCs w:val="22"/>
        </w:rPr>
        <w:t>valuate thoroughly the validity of the VP-CF and AP-Miscellaneous accounts in the amounts of P127.647 million and P2.195 billion, respectively, which remained outstanding for more than two years, against which no actual claims had been filed and, if found not valid, revert the amount to the Retained Earnings account.</w:t>
      </w:r>
    </w:p>
    <w:p>
      <w:pPr>
        <w:pStyle w:val="ListParagraph"/>
        <w:ind w:left="1080"/>
        <w:contextualSpacing/>
        <w:jc w:val="both"/>
        <w:rPr>
          <w:rFonts w:ascii="Arial" w:hAnsi="Arial" w:cs="Arial"/>
          <w:bCs/>
          <w:sz w:val="22"/>
          <w:szCs w:val="22"/>
        </w:rPr>
      </w:pPr>
    </w:p>
    <w:p>
      <w:pPr>
        <w:pStyle w:val="ListParagraph"/>
        <w:numPr>
          <w:ilvl w:val="1"/>
          <w:numId w:val="7"/>
        </w:numPr>
        <w:ind w:left="709" w:hanging="709"/>
        <w:jc w:val="both"/>
        <w:rPr>
          <w:rFonts w:ascii="Arial" w:hAnsi="Arial" w:cs="Arial"/>
          <w:i/>
          <w:color w:val="000000" w:themeColor="text1"/>
          <w:sz w:val="22"/>
          <w:szCs w:val="22"/>
        </w:rPr>
      </w:pPr>
      <w:r>
        <w:rPr>
          <w:rFonts w:ascii="Arial" w:hAnsi="Arial" w:cs="Arial"/>
          <w:color w:val="000000" w:themeColor="text1"/>
          <w:sz w:val="22"/>
          <w:szCs w:val="22"/>
          <w:lang w:eastAsia="ar-SA"/>
        </w:rPr>
        <w:t>Require the concerned ABD personnel to:</w:t>
      </w:r>
    </w:p>
    <w:p>
      <w:pPr>
        <w:pStyle w:val="ListParagraph"/>
        <w:ind w:left="709"/>
        <w:jc w:val="both"/>
        <w:rPr>
          <w:rFonts w:ascii="Arial" w:hAnsi="Arial" w:cs="Arial"/>
          <w:b/>
          <w:color w:val="000000" w:themeColor="text1"/>
          <w:sz w:val="22"/>
          <w:szCs w:val="22"/>
          <w:lang w:eastAsia="ar-SA"/>
        </w:rPr>
      </w:pPr>
    </w:p>
    <w:p>
      <w:pPr>
        <w:pStyle w:val="ListParagraph"/>
        <w:numPr>
          <w:ilvl w:val="0"/>
          <w:numId w:val="8"/>
        </w:numPr>
        <w:ind w:left="1276" w:hanging="567"/>
        <w:jc w:val="both"/>
        <w:rPr>
          <w:rFonts w:ascii="Arial" w:hAnsi="Arial" w:cs="Arial"/>
          <w:i/>
          <w:color w:val="000000" w:themeColor="text1"/>
          <w:sz w:val="22"/>
          <w:szCs w:val="22"/>
          <w:lang w:val="en-US"/>
        </w:rPr>
      </w:pPr>
      <w:r>
        <w:rPr>
          <w:rFonts w:ascii="Arial" w:hAnsi="Arial" w:cs="Arial"/>
          <w:color w:val="000000" w:themeColor="text1"/>
          <w:sz w:val="22"/>
          <w:szCs w:val="22"/>
          <w:lang w:eastAsia="ar-SA"/>
        </w:rPr>
        <w:t xml:space="preserve">Conduct thorough evaluation/analysis of the transactions relating to the receivable accounts with abnormal (credit) balances to determine the cause/s thereof and to effect the necessary adjusting entries to fairly present the balance of the AR in the financial statements. </w:t>
      </w:r>
    </w:p>
    <w:p>
      <w:pPr>
        <w:pStyle w:val="ListParagraph"/>
        <w:ind w:left="1276" w:hanging="567"/>
        <w:contextualSpacing/>
        <w:jc w:val="both"/>
        <w:rPr>
          <w:rFonts w:ascii="Arial" w:hAnsi="Arial" w:cs="Arial"/>
          <w:bCs/>
          <w:sz w:val="22"/>
          <w:szCs w:val="22"/>
        </w:rPr>
      </w:pPr>
    </w:p>
    <w:p>
      <w:pPr>
        <w:pStyle w:val="ListParagraph"/>
        <w:numPr>
          <w:ilvl w:val="0"/>
          <w:numId w:val="8"/>
        </w:numPr>
        <w:ind w:left="1276" w:hanging="567"/>
        <w:jc w:val="both"/>
        <w:rPr>
          <w:rFonts w:ascii="Arial" w:hAnsi="Arial" w:cs="Arial"/>
          <w:bCs/>
          <w:sz w:val="22"/>
          <w:szCs w:val="22"/>
        </w:rPr>
      </w:pPr>
      <w:r>
        <w:rPr>
          <w:rFonts w:ascii="Arial" w:hAnsi="Arial" w:cs="Arial"/>
          <w:sz w:val="22"/>
          <w:szCs w:val="22"/>
          <w:lang w:eastAsia="ar-SA"/>
        </w:rPr>
        <w:lastRenderedPageBreak/>
        <w:t>Reconcile the GL balances of the AR sub-accounts with the corresponding Aging schedules to pinpoint the reason for the noted discrepancies and take appropriate action accordingly.</w:t>
      </w:r>
    </w:p>
    <w:p>
      <w:pPr>
        <w:pStyle w:val="ListParagraph"/>
        <w:ind w:left="1276" w:hanging="567"/>
        <w:jc w:val="both"/>
        <w:rPr>
          <w:rFonts w:ascii="Arial" w:hAnsi="Arial" w:cs="Arial"/>
          <w:bCs/>
          <w:color w:val="000000" w:themeColor="text1"/>
          <w:sz w:val="22"/>
          <w:szCs w:val="22"/>
          <w:lang w:eastAsia="ar-SA"/>
        </w:rPr>
      </w:pPr>
    </w:p>
    <w:p>
      <w:pPr>
        <w:pStyle w:val="ListParagraph"/>
        <w:numPr>
          <w:ilvl w:val="0"/>
          <w:numId w:val="8"/>
        </w:numPr>
        <w:ind w:left="1276" w:hanging="567"/>
        <w:jc w:val="both"/>
        <w:rPr>
          <w:rFonts w:ascii="Arial" w:hAnsi="Arial" w:cs="Arial"/>
          <w:i/>
          <w:color w:val="000000" w:themeColor="text1"/>
          <w:sz w:val="22"/>
          <w:szCs w:val="22"/>
          <w:lang w:val="en-US"/>
        </w:rPr>
      </w:pPr>
      <w:r>
        <w:rPr>
          <w:rFonts w:ascii="Arial" w:hAnsi="Arial" w:cs="Arial"/>
          <w:bCs/>
          <w:color w:val="000000" w:themeColor="text1"/>
          <w:sz w:val="22"/>
          <w:szCs w:val="22"/>
          <w:lang w:eastAsia="ar-SA"/>
        </w:rPr>
        <w:t>Maintain complete SLs and prepare schedules of the AR sub-accounts totaling P47.467 million, and submit the same to the Audit Team for verification/validation.</w:t>
      </w:r>
    </w:p>
    <w:p>
      <w:pPr>
        <w:spacing w:after="0" w:line="240" w:lineRule="auto"/>
        <w:ind w:left="720" w:hanging="720"/>
        <w:contextualSpacing/>
        <w:jc w:val="both"/>
        <w:rPr>
          <w:rFonts w:ascii="Arial" w:hAnsi="Arial" w:cs="Arial"/>
          <w:bCs/>
        </w:rPr>
      </w:pPr>
    </w:p>
    <w:p>
      <w:pPr>
        <w:pStyle w:val="ListParagraph"/>
        <w:numPr>
          <w:ilvl w:val="1"/>
          <w:numId w:val="10"/>
        </w:numPr>
        <w:ind w:left="709" w:hanging="709"/>
        <w:jc w:val="both"/>
        <w:rPr>
          <w:rFonts w:ascii="Arial" w:hAnsi="Arial" w:cs="Arial"/>
          <w:sz w:val="22"/>
          <w:szCs w:val="22"/>
        </w:rPr>
      </w:pPr>
      <w:r>
        <w:rPr>
          <w:rFonts w:ascii="Arial" w:hAnsi="Arial" w:cs="Arial"/>
          <w:sz w:val="22"/>
          <w:szCs w:val="22"/>
        </w:rPr>
        <w:t>Instruct the concerned ABD personnel to:</w:t>
      </w:r>
    </w:p>
    <w:p>
      <w:pPr>
        <w:pStyle w:val="ListParagraph"/>
        <w:jc w:val="both"/>
        <w:rPr>
          <w:rFonts w:ascii="Arial"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iCs/>
          <w:sz w:val="22"/>
          <w:szCs w:val="22"/>
        </w:rPr>
        <w:t>Conduct further verification/reconciliation/analysis of the remaining long outstanding book reconciling items as well as the current year’s unrecorded fund transfers and effect the necessary adjusting entries accordingly to reconcile the balances of the Cash in Bank account with the balances per bank</w:t>
      </w:r>
      <w:r>
        <w:rPr>
          <w:rFonts w:ascii="Arial" w:hAnsi="Arial" w:cs="Arial"/>
          <w:sz w:val="22"/>
          <w:szCs w:val="22"/>
        </w:rPr>
        <w:t xml:space="preserve">;  </w:t>
      </w:r>
    </w:p>
    <w:p>
      <w:pPr>
        <w:pStyle w:val="ListParagraph"/>
        <w:ind w:left="1276" w:hanging="567"/>
        <w:contextualSpacing/>
        <w:jc w:val="both"/>
        <w:rPr>
          <w:rFonts w:ascii="Arial"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bCs/>
          <w:iCs/>
          <w:sz w:val="22"/>
          <w:szCs w:val="22"/>
          <w:lang w:eastAsia="en-PH"/>
        </w:rPr>
        <w:t xml:space="preserve">Submit the complete supporting documents for the </w:t>
      </w:r>
      <w:r>
        <w:rPr>
          <w:rFonts w:ascii="Arial" w:hAnsi="Arial" w:cs="Arial"/>
          <w:bCs/>
          <w:iCs/>
          <w:sz w:val="22"/>
          <w:szCs w:val="22"/>
        </w:rPr>
        <w:t>P59.681 million adjustments effected on the Cash in Bank account, and henceforth, ensure that all JEVs are properly supported with complete documentation</w:t>
      </w:r>
      <w:r>
        <w:rPr>
          <w:rFonts w:ascii="Arial" w:hAnsi="Arial" w:cs="Arial"/>
          <w:sz w:val="22"/>
          <w:szCs w:val="22"/>
          <w:lang w:eastAsia="en-PH"/>
        </w:rPr>
        <w:t>; and</w:t>
      </w:r>
    </w:p>
    <w:p>
      <w:pPr>
        <w:pStyle w:val="ListParagraph"/>
        <w:ind w:left="1276" w:hanging="567"/>
        <w:rPr>
          <w:rFonts w:ascii="Arial" w:eastAsia="Calibri"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iCs/>
          <w:sz w:val="22"/>
          <w:szCs w:val="22"/>
        </w:rPr>
        <w:t>Exert all efforts to investigate the cause/s of the remaining balances of the closed bank accounts and effect the necessary adjustments to fairly present the balance of the Cash in Bank account in the financial statements.</w:t>
      </w:r>
    </w:p>
    <w:p>
      <w:pPr>
        <w:spacing w:after="0" w:line="240" w:lineRule="auto"/>
        <w:ind w:left="720" w:hanging="720"/>
        <w:contextualSpacing/>
        <w:jc w:val="both"/>
        <w:rPr>
          <w:rFonts w:ascii="Arial" w:hAnsi="Arial" w:cs="Arial"/>
          <w:bCs/>
        </w:rPr>
      </w:pPr>
    </w:p>
    <w:p>
      <w:pPr>
        <w:pStyle w:val="ListParagraph"/>
        <w:numPr>
          <w:ilvl w:val="1"/>
          <w:numId w:val="13"/>
        </w:numPr>
        <w:ind w:left="709" w:hanging="709"/>
        <w:jc w:val="both"/>
        <w:rPr>
          <w:rFonts w:ascii="Arial" w:hAnsi="Arial" w:cs="Arial"/>
          <w:sz w:val="22"/>
          <w:szCs w:val="22"/>
        </w:rPr>
      </w:pPr>
      <w:r>
        <w:rPr>
          <w:rFonts w:ascii="Arial" w:hAnsi="Arial" w:cs="Arial"/>
          <w:sz w:val="22"/>
          <w:szCs w:val="22"/>
        </w:rPr>
        <w:t>Require the ABD to:</w:t>
      </w:r>
    </w:p>
    <w:p>
      <w:pPr>
        <w:spacing w:after="0" w:line="240" w:lineRule="auto"/>
        <w:jc w:val="both"/>
        <w:rPr>
          <w:rFonts w:ascii="Arial" w:hAnsi="Arial" w:cs="Arial"/>
          <w:b/>
        </w:rPr>
      </w:pPr>
    </w:p>
    <w:p>
      <w:pPr>
        <w:pStyle w:val="ListParagraph"/>
        <w:numPr>
          <w:ilvl w:val="0"/>
          <w:numId w:val="12"/>
        </w:numPr>
        <w:ind w:left="1276" w:hanging="567"/>
        <w:jc w:val="both"/>
        <w:rPr>
          <w:rFonts w:ascii="Arial" w:hAnsi="Arial" w:cs="Arial"/>
          <w:sz w:val="22"/>
          <w:szCs w:val="22"/>
        </w:rPr>
      </w:pPr>
      <w:r>
        <w:rPr>
          <w:rFonts w:ascii="Arial" w:hAnsi="Arial" w:cs="Arial"/>
          <w:sz w:val="22"/>
          <w:szCs w:val="22"/>
        </w:rPr>
        <w:lastRenderedPageBreak/>
        <w:t xml:space="preserve">Recognize in the books the undercollection of the 13 per cent guaranteed shares from the sales of the Instant Sweepstakes for CY 2020 in accordance with the IRR for the ISP; and </w:t>
      </w:r>
    </w:p>
    <w:p>
      <w:pPr>
        <w:pStyle w:val="ListParagraph"/>
        <w:ind w:left="1276" w:hanging="567"/>
        <w:jc w:val="both"/>
        <w:rPr>
          <w:rFonts w:ascii="Arial" w:hAnsi="Arial" w:cs="Arial"/>
          <w:sz w:val="22"/>
          <w:szCs w:val="22"/>
        </w:rPr>
      </w:pPr>
    </w:p>
    <w:p>
      <w:pPr>
        <w:pStyle w:val="ListParagraph"/>
        <w:numPr>
          <w:ilvl w:val="0"/>
          <w:numId w:val="12"/>
        </w:numPr>
        <w:ind w:left="1276" w:hanging="567"/>
        <w:jc w:val="both"/>
        <w:rPr>
          <w:rFonts w:ascii="Arial" w:hAnsi="Arial" w:cs="Arial"/>
          <w:sz w:val="22"/>
          <w:szCs w:val="22"/>
        </w:rPr>
      </w:pPr>
      <w:r>
        <w:rPr>
          <w:rFonts w:ascii="Arial" w:hAnsi="Arial" w:cs="Arial"/>
          <w:bCs/>
          <w:sz w:val="22"/>
          <w:szCs w:val="22"/>
        </w:rPr>
        <w:t>Collect from the Authorized Distributor the unremitted shares of the PCSO amounting to P24.212 million so that it could be utilized for the various charity programs of the PCSO</w:t>
      </w:r>
      <w:r>
        <w:rPr>
          <w:rFonts w:ascii="Arial" w:hAnsi="Arial" w:cs="Arial"/>
          <w:sz w:val="22"/>
          <w:szCs w:val="22"/>
        </w:rPr>
        <w:t>.</w:t>
      </w:r>
    </w:p>
    <w:p>
      <w:pPr>
        <w:spacing w:after="0" w:line="240" w:lineRule="auto"/>
        <w:ind w:left="720" w:hanging="720"/>
        <w:contextualSpacing/>
        <w:jc w:val="both"/>
        <w:rPr>
          <w:rFonts w:ascii="Arial" w:hAnsi="Arial" w:cs="Arial"/>
          <w:bCs/>
        </w:rPr>
      </w:pPr>
    </w:p>
    <w:p>
      <w:pPr>
        <w:pStyle w:val="NoSpacing"/>
        <w:jc w:val="both"/>
        <w:rPr>
          <w:rFonts w:ascii="Arial" w:eastAsia="Times New Roman" w:hAnsi="Arial" w:cs="Arial"/>
        </w:rPr>
      </w:pPr>
      <w:r>
        <w:rPr>
          <w:rFonts w:ascii="Arial" w:eastAsia="Times New Roman" w:hAnsi="Arial" w:cs="Arial"/>
        </w:rPr>
        <w:t>The other significant audit observations and recommendations that need immediate action are as follows:</w:t>
      </w:r>
    </w:p>
    <w:p>
      <w:pPr>
        <w:pStyle w:val="ListParagraph"/>
        <w:ind w:left="0"/>
        <w:contextualSpacing/>
        <w:jc w:val="both"/>
        <w:rPr>
          <w:rFonts w:ascii="Arial" w:hAnsi="Arial" w:cs="Arial"/>
          <w:sz w:val="22"/>
          <w:szCs w:val="22"/>
        </w:rPr>
      </w:pPr>
      <w:r>
        <w:rPr>
          <w:rFonts w:ascii="Arial" w:hAnsi="Arial" w:cs="Arial"/>
          <w:sz w:val="22"/>
          <w:szCs w:val="22"/>
        </w:rPr>
        <w:t xml:space="preserve">                                                  </w:t>
      </w:r>
    </w:p>
    <w:p>
      <w:pPr>
        <w:pStyle w:val="ListParagraph"/>
        <w:numPr>
          <w:ilvl w:val="0"/>
          <w:numId w:val="11"/>
        </w:numPr>
        <w:ind w:left="709" w:hanging="709"/>
        <w:jc w:val="both"/>
        <w:rPr>
          <w:rFonts w:ascii="Arial" w:hAnsi="Arial" w:cs="Arial"/>
          <w:color w:val="000000" w:themeColor="text1"/>
          <w:sz w:val="22"/>
          <w:szCs w:val="22"/>
        </w:rPr>
      </w:pPr>
      <w:r>
        <w:rPr>
          <w:rFonts w:ascii="Arial" w:hAnsi="Arial" w:cs="Arial"/>
          <w:color w:val="000000" w:themeColor="text1"/>
          <w:sz w:val="22"/>
          <w:szCs w:val="22"/>
        </w:rPr>
        <w:t>Disbursements in the total amount of P154.212 million, representing payments made to the Philippine Television Network, Inc. (PTNI) for the airtime, production, technical equipment, microwave transmission facility and post production of the PCSO’s lottery draws were not properly supported with a Memorandum of Agreement (MOA), which was not in accordance with the procedure for an Agency to Agency mode of procurement provided under  Annex H of the 2016 Revised Implementing Rules and Regulations (RIRR) of RA No. 9184, or the government procurement law.</w:t>
      </w:r>
    </w:p>
    <w:p>
      <w:pPr>
        <w:spacing w:after="0" w:line="240" w:lineRule="auto"/>
        <w:jc w:val="both"/>
        <w:rPr>
          <w:rFonts w:ascii="Arial" w:hAnsi="Arial" w:cs="Arial"/>
        </w:rPr>
      </w:pPr>
    </w:p>
    <w:p>
      <w:pPr>
        <w:pStyle w:val="ListParagraph"/>
        <w:numPr>
          <w:ilvl w:val="1"/>
          <w:numId w:val="15"/>
        </w:numPr>
        <w:ind w:left="709" w:hanging="709"/>
        <w:contextualSpacing/>
        <w:jc w:val="both"/>
        <w:rPr>
          <w:rFonts w:ascii="Arial" w:hAnsi="Arial" w:cs="Arial"/>
          <w:color w:val="000000" w:themeColor="text1"/>
          <w:sz w:val="22"/>
          <w:szCs w:val="22"/>
        </w:rPr>
      </w:pPr>
      <w:r>
        <w:rPr>
          <w:rFonts w:ascii="Arial" w:hAnsi="Arial" w:cs="Arial"/>
          <w:color w:val="000000" w:themeColor="text1"/>
          <w:sz w:val="22"/>
          <w:szCs w:val="22"/>
        </w:rPr>
        <w:t>We recommended that Management: (a) ensure compliance with the provisions embodied under Annex H to the 2016 RIRR of RA No. 9184, particularly on the Agency to Agency mode of procurement; and (b) execute immediately a MOA with the PTNI to protect the best interest of the PCSO.</w:t>
      </w:r>
    </w:p>
    <w:p>
      <w:pPr>
        <w:spacing w:after="0" w:line="240" w:lineRule="auto"/>
        <w:jc w:val="both"/>
        <w:rPr>
          <w:rFonts w:ascii="Arial" w:hAnsi="Arial" w:cs="Arial"/>
        </w:rPr>
      </w:pPr>
    </w:p>
    <w:p>
      <w:pPr>
        <w:pStyle w:val="ListParagraph"/>
        <w:numPr>
          <w:ilvl w:val="0"/>
          <w:numId w:val="11"/>
        </w:numPr>
        <w:ind w:left="720" w:hanging="720"/>
        <w:jc w:val="both"/>
        <w:rPr>
          <w:rFonts w:ascii="Arial" w:hAnsi="Arial" w:cs="Arial"/>
          <w:color w:val="000000" w:themeColor="text1"/>
          <w:sz w:val="22"/>
          <w:szCs w:val="22"/>
        </w:rPr>
      </w:pPr>
      <w:r>
        <w:rPr>
          <w:rFonts w:ascii="Arial" w:hAnsi="Arial" w:cs="Arial"/>
          <w:color w:val="000000" w:themeColor="text1"/>
          <w:sz w:val="22"/>
          <w:szCs w:val="22"/>
          <w:lang w:eastAsia="en-PH"/>
        </w:rPr>
        <w:lastRenderedPageBreak/>
        <w:t xml:space="preserve">The implementation of the </w:t>
      </w:r>
      <w:r>
        <w:rPr>
          <w:rFonts w:ascii="Arial" w:hAnsi="Arial" w:cs="Arial"/>
          <w:color w:val="000000" w:themeColor="text1"/>
          <w:sz w:val="22"/>
          <w:szCs w:val="22"/>
        </w:rPr>
        <w:t>Medical Transport Vehicle Donation Program (MTVDP), particularly those pertaining to the Emergency Medical Service Vehicles (EMSVs) and Patient Transport Vehicles (PTVs) released to the approved beneficiaries/recipients during CYs 2019 and 2020 disclosed the following deficiencies:</w:t>
      </w:r>
    </w:p>
    <w:p>
      <w:pPr>
        <w:pStyle w:val="ListParagraph"/>
        <w:jc w:val="both"/>
        <w:rPr>
          <w:rFonts w:ascii="Arial" w:hAnsi="Arial" w:cs="Arial"/>
          <w:lang w:eastAsia="en-PH"/>
        </w:rPr>
      </w:pPr>
    </w:p>
    <w:p>
      <w:pPr>
        <w:pStyle w:val="ListParagraph"/>
        <w:numPr>
          <w:ilvl w:val="4"/>
          <w:numId w:val="16"/>
        </w:numPr>
        <w:ind w:left="1276" w:hanging="567"/>
        <w:jc w:val="both"/>
        <w:rPr>
          <w:rFonts w:ascii="Arial" w:hAnsi="Arial" w:cs="Arial"/>
          <w:color w:val="000000" w:themeColor="text1"/>
          <w:sz w:val="22"/>
          <w:szCs w:val="22"/>
        </w:rPr>
      </w:pPr>
      <w:r>
        <w:rPr>
          <w:rFonts w:ascii="Arial" w:hAnsi="Arial" w:cs="Arial"/>
          <w:color w:val="000000" w:themeColor="text1"/>
          <w:sz w:val="22"/>
          <w:szCs w:val="22"/>
        </w:rPr>
        <w:t>Forty-five (45) units EMSV were purchased upon the approval of the PCSO Board despite that only 42 beneficiaries were identified and approved by the same Board, resulting in excess purchases of three (3) units costing P7.044 million that remained idle and not put into productive use as of December 31, 2020;</w:t>
      </w:r>
    </w:p>
    <w:p>
      <w:pPr>
        <w:pStyle w:val="ListParagraph"/>
        <w:ind w:left="1276" w:hanging="567"/>
        <w:jc w:val="both"/>
        <w:rPr>
          <w:rFonts w:ascii="Arial" w:hAnsi="Arial" w:cs="Arial"/>
          <w:color w:val="000000" w:themeColor="text1"/>
          <w:sz w:val="22"/>
          <w:szCs w:val="22"/>
        </w:rPr>
      </w:pPr>
    </w:p>
    <w:p>
      <w:pPr>
        <w:pStyle w:val="ListParagraph"/>
        <w:numPr>
          <w:ilvl w:val="4"/>
          <w:numId w:val="16"/>
        </w:numPr>
        <w:ind w:left="1276" w:hanging="567"/>
        <w:jc w:val="both"/>
        <w:rPr>
          <w:rFonts w:ascii="Arial" w:hAnsi="Arial" w:cs="Arial"/>
          <w:color w:val="000000" w:themeColor="text1"/>
          <w:sz w:val="22"/>
          <w:szCs w:val="22"/>
        </w:rPr>
      </w:pPr>
      <w:r>
        <w:rPr>
          <w:rFonts w:ascii="Arial" w:hAnsi="Arial" w:cs="Arial"/>
          <w:color w:val="000000" w:themeColor="text1"/>
          <w:sz w:val="22"/>
          <w:szCs w:val="22"/>
        </w:rPr>
        <w:t xml:space="preserve">Beneficiaries of the 42 units EMSV did not submit the proof of registration with the Department of Health (DOH) as Ambulance Service Provider (ASP), contrary to the requirement under Section XII (A.3) of the Guidelines for the PCSO MTVDP, </w:t>
      </w:r>
      <w:r>
        <w:rPr>
          <w:rFonts w:ascii="Arial" w:hAnsi="Arial" w:cs="Arial"/>
          <w:sz w:val="22"/>
          <w:szCs w:val="22"/>
        </w:rPr>
        <w:t>casting doubt on whether the donated EMSVs have been approved as ambulances</w:t>
      </w:r>
      <w:r>
        <w:rPr>
          <w:rFonts w:ascii="Arial" w:hAnsi="Arial" w:cs="Arial"/>
          <w:color w:val="000000" w:themeColor="text1"/>
          <w:sz w:val="22"/>
          <w:szCs w:val="22"/>
        </w:rPr>
        <w:t>; and</w:t>
      </w:r>
    </w:p>
    <w:p>
      <w:pPr>
        <w:pStyle w:val="ListParagraph"/>
        <w:ind w:left="1276" w:hanging="567"/>
        <w:rPr>
          <w:rFonts w:ascii="Arial" w:hAnsi="Arial" w:cs="Arial"/>
          <w:color w:val="000000" w:themeColor="text1"/>
          <w:sz w:val="22"/>
          <w:szCs w:val="22"/>
        </w:rPr>
      </w:pPr>
    </w:p>
    <w:p>
      <w:pPr>
        <w:pStyle w:val="ListParagraph"/>
        <w:numPr>
          <w:ilvl w:val="4"/>
          <w:numId w:val="16"/>
        </w:numPr>
        <w:ind w:left="1276" w:hanging="567"/>
        <w:jc w:val="both"/>
        <w:rPr>
          <w:rFonts w:ascii="Arial" w:hAnsi="Arial" w:cs="Arial"/>
        </w:rPr>
      </w:pPr>
      <w:r>
        <w:rPr>
          <w:rFonts w:ascii="Arial" w:hAnsi="Arial" w:cs="Arial"/>
          <w:color w:val="000000" w:themeColor="text1"/>
          <w:sz w:val="22"/>
          <w:szCs w:val="22"/>
        </w:rPr>
        <w:t xml:space="preserve">The release of the 293 units of PTV amounting to P464.423 million were not supported with the grant release documentations to </w:t>
      </w:r>
      <w:r>
        <w:rPr>
          <w:rFonts w:ascii="Arial" w:hAnsi="Arial" w:cs="Arial"/>
          <w:sz w:val="22"/>
          <w:szCs w:val="22"/>
        </w:rPr>
        <w:t xml:space="preserve">prove that these units were turned over and accepted by the beneficiaries, contrary to </w:t>
      </w:r>
      <w:r>
        <w:rPr>
          <w:rFonts w:ascii="Arial" w:hAnsi="Arial" w:cs="Arial"/>
          <w:color w:val="000000" w:themeColor="text1"/>
          <w:sz w:val="22"/>
          <w:szCs w:val="22"/>
        </w:rPr>
        <w:t>Section XI (4) of the Guidelines for the MTVDP.</w:t>
      </w:r>
    </w:p>
    <w:p>
      <w:pPr>
        <w:spacing w:after="0" w:line="240" w:lineRule="auto"/>
        <w:jc w:val="both"/>
        <w:rPr>
          <w:rFonts w:ascii="Arial" w:hAnsi="Arial" w:cs="Arial"/>
        </w:rPr>
      </w:pPr>
    </w:p>
    <w:p>
      <w:pPr>
        <w:pStyle w:val="ListParagraph"/>
        <w:numPr>
          <w:ilvl w:val="1"/>
          <w:numId w:val="18"/>
        </w:numPr>
        <w:ind w:left="709" w:hanging="709"/>
        <w:jc w:val="both"/>
        <w:rPr>
          <w:rFonts w:ascii="Arial" w:hAnsi="Arial" w:cs="Arial"/>
          <w:sz w:val="22"/>
          <w:szCs w:val="22"/>
        </w:rPr>
      </w:pPr>
      <w:r>
        <w:rPr>
          <w:rFonts w:ascii="Arial" w:hAnsi="Arial" w:cs="Arial"/>
          <w:bCs/>
          <w:sz w:val="22"/>
          <w:szCs w:val="22"/>
        </w:rPr>
        <w:t>We recommended that Management:</w:t>
      </w:r>
    </w:p>
    <w:p>
      <w:pPr>
        <w:pStyle w:val="ListParagraph"/>
        <w:ind w:left="1440"/>
        <w:jc w:val="both"/>
        <w:rPr>
          <w:rFonts w:ascii="Arial" w:hAnsi="Arial" w:cs="Arial"/>
          <w:bCs/>
          <w:sz w:val="22"/>
          <w:szCs w:val="22"/>
        </w:rPr>
      </w:pPr>
    </w:p>
    <w:p>
      <w:pPr>
        <w:pStyle w:val="ListParagraph"/>
        <w:numPr>
          <w:ilvl w:val="0"/>
          <w:numId w:val="17"/>
        </w:numPr>
        <w:ind w:left="1276" w:hanging="567"/>
        <w:jc w:val="both"/>
        <w:rPr>
          <w:rFonts w:ascii="Arial" w:hAnsi="Arial" w:cs="Arial"/>
          <w:bCs/>
          <w:sz w:val="22"/>
          <w:szCs w:val="22"/>
        </w:rPr>
      </w:pPr>
      <w:r>
        <w:rPr>
          <w:rFonts w:ascii="Arial" w:hAnsi="Arial" w:cs="Arial"/>
          <w:bCs/>
          <w:sz w:val="22"/>
          <w:szCs w:val="22"/>
        </w:rPr>
        <w:t>Direct the CAD to:</w:t>
      </w:r>
    </w:p>
    <w:p>
      <w:pPr>
        <w:pStyle w:val="ListParagraph"/>
        <w:ind w:left="1440"/>
        <w:jc w:val="both"/>
        <w:rPr>
          <w:rFonts w:ascii="Arial" w:hAnsi="Arial" w:cs="Arial"/>
          <w:bCs/>
          <w:sz w:val="22"/>
          <w:szCs w:val="22"/>
        </w:rPr>
      </w:pPr>
    </w:p>
    <w:p>
      <w:pPr>
        <w:pStyle w:val="ListParagraph"/>
        <w:tabs>
          <w:tab w:val="left" w:pos="1418"/>
        </w:tabs>
        <w:ind w:left="1843" w:hanging="567"/>
        <w:jc w:val="both"/>
        <w:rPr>
          <w:rFonts w:ascii="Arial" w:hAnsi="Arial" w:cs="Arial"/>
          <w:bCs/>
          <w:sz w:val="22"/>
          <w:szCs w:val="22"/>
        </w:rPr>
      </w:pPr>
      <w:r>
        <w:rPr>
          <w:rFonts w:ascii="Arial" w:hAnsi="Arial" w:cs="Arial"/>
          <w:sz w:val="22"/>
          <w:szCs w:val="22"/>
        </w:rPr>
        <w:t xml:space="preserve">a.1 </w:t>
      </w:r>
      <w:r>
        <w:rPr>
          <w:rFonts w:ascii="Arial" w:hAnsi="Arial" w:cs="Arial"/>
          <w:sz w:val="22"/>
          <w:szCs w:val="22"/>
        </w:rPr>
        <w:tab/>
        <w:t>Ensure that the implementation of the MTVDP is well-planned and coordinated to avoid over procurement and where the items are not put into productive use, resulting in waste of government resources</w:t>
      </w:r>
      <w:r>
        <w:rPr>
          <w:rFonts w:ascii="Arial" w:hAnsi="Arial" w:cs="Arial"/>
          <w:bCs/>
          <w:sz w:val="22"/>
          <w:szCs w:val="22"/>
        </w:rPr>
        <w:t xml:space="preserve">; </w:t>
      </w:r>
    </w:p>
    <w:p>
      <w:pPr>
        <w:pStyle w:val="ListParagraph"/>
        <w:tabs>
          <w:tab w:val="left" w:pos="1418"/>
        </w:tabs>
        <w:ind w:left="1843" w:hanging="567"/>
        <w:jc w:val="both"/>
        <w:rPr>
          <w:rFonts w:ascii="Arial" w:hAnsi="Arial" w:cs="Arial"/>
          <w:bCs/>
          <w:sz w:val="22"/>
          <w:szCs w:val="22"/>
        </w:rPr>
      </w:pPr>
    </w:p>
    <w:p>
      <w:pPr>
        <w:pStyle w:val="ListParagraph"/>
        <w:tabs>
          <w:tab w:val="left" w:pos="1418"/>
        </w:tabs>
        <w:ind w:left="1843" w:hanging="567"/>
        <w:jc w:val="both"/>
        <w:rPr>
          <w:rFonts w:ascii="Arial" w:hAnsi="Arial" w:cs="Arial"/>
          <w:sz w:val="22"/>
          <w:szCs w:val="22"/>
        </w:rPr>
      </w:pPr>
      <w:r>
        <w:rPr>
          <w:rFonts w:ascii="Arial" w:hAnsi="Arial" w:cs="Arial"/>
          <w:sz w:val="22"/>
          <w:szCs w:val="22"/>
        </w:rPr>
        <w:t xml:space="preserve">a.2 </w:t>
      </w:r>
      <w:r>
        <w:rPr>
          <w:rFonts w:ascii="Arial" w:hAnsi="Arial" w:cs="Arial"/>
          <w:sz w:val="22"/>
          <w:szCs w:val="22"/>
        </w:rPr>
        <w:tab/>
        <w:t>Cause the immediate submission by the 42 beneficiaries of the EMSVs of the required proof of registration with the DOH as ASP, otherwise, impose the sanctions provided under Section XII (A.3) of the Guidelines for the PCSO MTVDP</w:t>
      </w:r>
      <w:r>
        <w:rPr>
          <w:rFonts w:ascii="Arial" w:hAnsi="Arial" w:cs="Arial"/>
          <w:bCs/>
          <w:sz w:val="22"/>
          <w:szCs w:val="22"/>
        </w:rPr>
        <w:t>; and</w:t>
      </w:r>
    </w:p>
    <w:p>
      <w:pPr>
        <w:pStyle w:val="ListParagraph"/>
        <w:ind w:left="1843" w:hanging="567"/>
        <w:rPr>
          <w:rFonts w:ascii="Arial" w:hAnsi="Arial" w:cs="Arial"/>
          <w:sz w:val="22"/>
          <w:szCs w:val="22"/>
        </w:rPr>
      </w:pPr>
    </w:p>
    <w:p>
      <w:pPr>
        <w:pStyle w:val="ListParagraph"/>
        <w:ind w:left="1843" w:right="-7" w:hanging="567"/>
        <w:jc w:val="both"/>
        <w:rPr>
          <w:rFonts w:ascii="Arial" w:hAnsi="Arial" w:cs="Arial"/>
          <w:sz w:val="22"/>
          <w:szCs w:val="22"/>
        </w:rPr>
      </w:pPr>
      <w:r>
        <w:rPr>
          <w:rFonts w:ascii="Arial" w:hAnsi="Arial" w:cs="Arial"/>
          <w:sz w:val="22"/>
          <w:szCs w:val="22"/>
        </w:rPr>
        <w:t>a.3</w:t>
      </w:r>
      <w:r>
        <w:rPr>
          <w:rFonts w:ascii="Arial" w:hAnsi="Arial" w:cs="Arial"/>
          <w:sz w:val="22"/>
          <w:szCs w:val="22"/>
        </w:rPr>
        <w:tab/>
        <w:t xml:space="preserve">Cause the </w:t>
      </w:r>
      <w:r>
        <w:rPr>
          <w:rFonts w:ascii="Arial" w:hAnsi="Arial" w:cs="Arial"/>
          <w:iCs/>
          <w:sz w:val="22"/>
          <w:szCs w:val="22"/>
        </w:rPr>
        <w:t xml:space="preserve">submission of the </w:t>
      </w:r>
      <w:r>
        <w:rPr>
          <w:rFonts w:ascii="Arial" w:hAnsi="Arial" w:cs="Arial"/>
          <w:sz w:val="22"/>
          <w:szCs w:val="22"/>
        </w:rPr>
        <w:t>grant release documentations for the 293 units of PTV as</w:t>
      </w:r>
      <w:r>
        <w:rPr>
          <w:rFonts w:ascii="Arial" w:hAnsi="Arial" w:cs="Arial"/>
          <w:i/>
          <w:sz w:val="22"/>
          <w:szCs w:val="22"/>
        </w:rPr>
        <w:t xml:space="preserve"> </w:t>
      </w:r>
      <w:r>
        <w:rPr>
          <w:rFonts w:ascii="Arial" w:hAnsi="Arial" w:cs="Arial"/>
          <w:sz w:val="22"/>
          <w:szCs w:val="22"/>
        </w:rPr>
        <w:t>required under Section XI (4) of the Guidelines for the MTVDP.</w:t>
      </w:r>
    </w:p>
    <w:p>
      <w:pPr>
        <w:pStyle w:val="ListParagraph"/>
        <w:rPr>
          <w:rFonts w:ascii="Arial" w:hAnsi="Arial" w:cs="Arial"/>
          <w:sz w:val="22"/>
          <w:szCs w:val="22"/>
        </w:rPr>
      </w:pPr>
    </w:p>
    <w:p>
      <w:pPr>
        <w:pStyle w:val="ListParagraph"/>
        <w:numPr>
          <w:ilvl w:val="0"/>
          <w:numId w:val="17"/>
        </w:numPr>
        <w:tabs>
          <w:tab w:val="left" w:pos="1418"/>
        </w:tabs>
        <w:ind w:left="1276" w:hanging="567"/>
        <w:jc w:val="both"/>
        <w:rPr>
          <w:rFonts w:ascii="Arial" w:hAnsi="Arial" w:cs="Arial"/>
          <w:sz w:val="22"/>
          <w:szCs w:val="22"/>
        </w:rPr>
      </w:pPr>
      <w:r>
        <w:rPr>
          <w:rFonts w:ascii="Arial" w:hAnsi="Arial" w:cs="Arial"/>
          <w:bCs/>
          <w:iCs/>
          <w:sz w:val="22"/>
          <w:szCs w:val="22"/>
          <w:lang w:eastAsia="en-PH"/>
        </w:rPr>
        <w:t xml:space="preserve">Require the ABD to ensure that the JEVs relating to the release of </w:t>
      </w:r>
      <w:r>
        <w:rPr>
          <w:rFonts w:ascii="Arial" w:hAnsi="Arial" w:cs="Arial"/>
          <w:sz w:val="22"/>
          <w:szCs w:val="22"/>
          <w:lang w:eastAsia="ar-SA"/>
        </w:rPr>
        <w:t>donated PTVs are duly supported with complete documentation.</w:t>
      </w:r>
    </w:p>
    <w:p>
      <w:pPr>
        <w:spacing w:after="0" w:line="240" w:lineRule="auto"/>
        <w:jc w:val="both"/>
        <w:rPr>
          <w:rFonts w:ascii="Arial" w:hAnsi="Arial" w:cs="Arial"/>
          <w:iCs/>
        </w:rPr>
      </w:pPr>
    </w:p>
    <w:p>
      <w:pPr>
        <w:pStyle w:val="ListParagraph"/>
        <w:numPr>
          <w:ilvl w:val="0"/>
          <w:numId w:val="11"/>
        </w:numPr>
        <w:ind w:left="720" w:hanging="720"/>
        <w:jc w:val="both"/>
        <w:rPr>
          <w:rFonts w:ascii="Arial" w:hAnsi="Arial" w:cs="Arial"/>
          <w:color w:val="000000" w:themeColor="text1"/>
          <w:sz w:val="22"/>
          <w:szCs w:val="22"/>
        </w:rPr>
      </w:pPr>
      <w:r>
        <w:rPr>
          <w:rFonts w:ascii="Arial" w:hAnsi="Arial" w:cs="Arial"/>
          <w:color w:val="000000" w:themeColor="text1"/>
          <w:sz w:val="22"/>
          <w:szCs w:val="22"/>
        </w:rPr>
        <w:t>The PCSO disbursed/paid the amount of P95.107 million for its Special Share to the PCSO-Provident Fund, despite the disbursements/payments made thereto in previous years had been disallowed in audit and the yearly proposed budget therefor from CYs 2012 to 2020 has been consistently disapproved by the Department of Budget and Management (DBM) for want of legal basis.</w:t>
      </w:r>
    </w:p>
    <w:p>
      <w:pPr>
        <w:pStyle w:val="ListParagraph"/>
        <w:numPr>
          <w:ilvl w:val="1"/>
          <w:numId w:val="11"/>
        </w:numPr>
        <w:ind w:left="709" w:hanging="709"/>
        <w:jc w:val="both"/>
        <w:rPr>
          <w:rFonts w:ascii="Arial" w:hAnsi="Arial" w:cs="Arial"/>
          <w:sz w:val="22"/>
          <w:szCs w:val="22"/>
          <w:lang w:eastAsia="ar-SA"/>
        </w:rPr>
      </w:pPr>
      <w:r>
        <w:rPr>
          <w:rFonts w:ascii="Arial" w:hAnsi="Arial" w:cs="Arial"/>
          <w:sz w:val="22"/>
          <w:szCs w:val="22"/>
          <w:lang w:eastAsia="ar-SA"/>
        </w:rPr>
        <w:t xml:space="preserve">We recommended that Management discontinue the payment/disbursement of Special Share to the PCSO Provident Fund and cause </w:t>
      </w:r>
      <w:r>
        <w:rPr>
          <w:rFonts w:ascii="Arial" w:hAnsi="Arial" w:cs="Arial"/>
          <w:sz w:val="22"/>
          <w:szCs w:val="22"/>
          <w:lang w:eastAsia="ar-SA"/>
        </w:rPr>
        <w:lastRenderedPageBreak/>
        <w:t>the immediate refund of the P95.107 million paid in CY 2020, to avoid accumulation of disallowance in audit.</w:t>
      </w:r>
    </w:p>
    <w:p>
      <w:pPr>
        <w:pStyle w:val="ListParagraph"/>
        <w:jc w:val="both"/>
        <w:rPr>
          <w:rFonts w:ascii="Arial" w:hAnsi="Arial" w:cs="Arial"/>
          <w:color w:val="000000" w:themeColor="text1"/>
          <w:sz w:val="22"/>
          <w:szCs w:val="22"/>
        </w:rPr>
      </w:pPr>
    </w:p>
    <w:p>
      <w:pPr>
        <w:pStyle w:val="ListParagraph"/>
        <w:numPr>
          <w:ilvl w:val="0"/>
          <w:numId w:val="11"/>
        </w:numPr>
        <w:ind w:left="720" w:hanging="720"/>
        <w:jc w:val="both"/>
        <w:rPr>
          <w:rFonts w:ascii="Arial" w:hAnsi="Arial" w:cs="Arial"/>
          <w:color w:val="000000" w:themeColor="text1"/>
          <w:sz w:val="22"/>
          <w:szCs w:val="22"/>
        </w:rPr>
      </w:pPr>
      <w:r>
        <w:rPr>
          <w:rFonts w:ascii="Arial" w:hAnsi="Arial" w:cs="Arial"/>
          <w:color w:val="000000" w:themeColor="text1"/>
          <w:sz w:val="22"/>
          <w:szCs w:val="22"/>
        </w:rPr>
        <w:t>The Financial Assistance granted to PCSO officials, employees, BOD, J</w:t>
      </w:r>
      <w:r>
        <w:rPr>
          <w:rFonts w:ascii="Arial" w:hAnsi="Arial" w:cs="Arial"/>
          <w:iCs/>
          <w:color w:val="000000" w:themeColor="text1"/>
          <w:sz w:val="22"/>
          <w:szCs w:val="22"/>
        </w:rPr>
        <w:t>ob Order (JO) workers and Confidential Agents (CAs)</w:t>
      </w:r>
      <w:r>
        <w:rPr>
          <w:rFonts w:ascii="Arial" w:hAnsi="Arial" w:cs="Arial"/>
          <w:color w:val="000000" w:themeColor="text1"/>
          <w:sz w:val="22"/>
          <w:szCs w:val="22"/>
        </w:rPr>
        <w:t xml:space="preserve"> in the total amount of P61.330 million was bereft of legal basis, thus considered an irregular expenditure as defined under Section 3.0 of COA Circular No. 2012-003 dated October 29, 2012</w:t>
      </w:r>
      <w:r>
        <w:rPr>
          <w:rFonts w:ascii="Arial" w:hAnsi="Arial" w:cs="Arial"/>
          <w:sz w:val="22"/>
          <w:szCs w:val="22"/>
        </w:rPr>
        <w:t>.</w:t>
      </w:r>
    </w:p>
    <w:p>
      <w:pPr>
        <w:spacing w:after="0" w:line="240" w:lineRule="auto"/>
        <w:jc w:val="both"/>
        <w:rPr>
          <w:rFonts w:ascii="Arial" w:hAnsi="Arial" w:cs="Arial"/>
          <w:iCs/>
        </w:rPr>
      </w:pPr>
    </w:p>
    <w:p>
      <w:pPr>
        <w:pStyle w:val="ListParagraph"/>
        <w:numPr>
          <w:ilvl w:val="1"/>
          <w:numId w:val="11"/>
        </w:numPr>
        <w:ind w:left="709" w:hanging="709"/>
        <w:jc w:val="both"/>
        <w:rPr>
          <w:rFonts w:ascii="Arial" w:hAnsi="Arial" w:cs="Arial"/>
          <w:iCs/>
          <w:color w:val="000000" w:themeColor="text1"/>
          <w:sz w:val="22"/>
          <w:szCs w:val="22"/>
        </w:rPr>
      </w:pPr>
      <w:r>
        <w:rPr>
          <w:rFonts w:ascii="Arial" w:hAnsi="Arial" w:cs="Arial"/>
          <w:iCs/>
          <w:color w:val="000000" w:themeColor="text1"/>
          <w:sz w:val="22"/>
          <w:szCs w:val="22"/>
        </w:rPr>
        <w:t>We recommended that Management:</w:t>
      </w:r>
    </w:p>
    <w:p>
      <w:pPr>
        <w:pStyle w:val="ListParagraph"/>
        <w:ind w:left="1440"/>
        <w:jc w:val="both"/>
        <w:rPr>
          <w:rFonts w:ascii="Arial" w:hAnsi="Arial" w:cs="Arial"/>
          <w:iCs/>
          <w:color w:val="000000" w:themeColor="text1"/>
          <w:sz w:val="22"/>
          <w:szCs w:val="22"/>
        </w:rPr>
      </w:pPr>
    </w:p>
    <w:p>
      <w:pPr>
        <w:pStyle w:val="ListParagraph"/>
        <w:numPr>
          <w:ilvl w:val="4"/>
          <w:numId w:val="20"/>
        </w:numPr>
        <w:ind w:left="1276" w:hanging="567"/>
        <w:jc w:val="both"/>
        <w:rPr>
          <w:rFonts w:ascii="Arial" w:hAnsi="Arial" w:cs="Arial"/>
          <w:iCs/>
          <w:color w:val="000000" w:themeColor="text1"/>
          <w:sz w:val="22"/>
          <w:szCs w:val="22"/>
        </w:rPr>
      </w:pPr>
      <w:r>
        <w:rPr>
          <w:rFonts w:ascii="Arial" w:hAnsi="Arial" w:cs="Arial"/>
          <w:iCs/>
          <w:color w:val="000000" w:themeColor="text1"/>
          <w:sz w:val="22"/>
          <w:szCs w:val="22"/>
        </w:rPr>
        <w:t>Submit approval of the OP on the financial assistance granted to officers, employees, BOD, JO workers and CAs in the total amount of P61.330 million; otherwise, the same shall be disallowed in audit pursuant to COA Circular No. 2012-003 dated October 29, 2012; and</w:t>
      </w:r>
    </w:p>
    <w:p>
      <w:pPr>
        <w:pStyle w:val="ListParagraph"/>
        <w:ind w:left="1276" w:hanging="567"/>
        <w:jc w:val="both"/>
        <w:rPr>
          <w:rFonts w:ascii="Arial" w:hAnsi="Arial" w:cs="Arial"/>
          <w:iCs/>
          <w:color w:val="000000" w:themeColor="text1"/>
          <w:sz w:val="22"/>
          <w:szCs w:val="22"/>
        </w:rPr>
      </w:pPr>
    </w:p>
    <w:p>
      <w:pPr>
        <w:pStyle w:val="ListParagraph"/>
        <w:numPr>
          <w:ilvl w:val="4"/>
          <w:numId w:val="20"/>
        </w:numPr>
        <w:ind w:left="1276" w:hanging="567"/>
        <w:jc w:val="both"/>
        <w:rPr>
          <w:rFonts w:ascii="Arial" w:hAnsi="Arial" w:cs="Arial"/>
          <w:iCs/>
          <w:color w:val="000000" w:themeColor="text1"/>
          <w:sz w:val="22"/>
          <w:szCs w:val="22"/>
        </w:rPr>
      </w:pPr>
      <w:r>
        <w:rPr>
          <w:rFonts w:ascii="Arial" w:hAnsi="Arial" w:cs="Arial"/>
          <w:iCs/>
          <w:color w:val="000000" w:themeColor="text1"/>
          <w:sz w:val="22"/>
          <w:szCs w:val="22"/>
        </w:rPr>
        <w:t>Henceforth, exercise at all times the diligence of a good father of a family in running the affairs of the PCSO by ensuring that disbursements of government’s funds are clothed with pertinent legal basis.</w:t>
      </w:r>
    </w:p>
    <w:p>
      <w:pPr>
        <w:spacing w:after="0" w:line="240" w:lineRule="auto"/>
        <w:jc w:val="both"/>
        <w:rPr>
          <w:rFonts w:ascii="Arial" w:hAnsi="Arial" w:cs="Arial"/>
          <w:iCs/>
        </w:rPr>
      </w:pPr>
    </w:p>
    <w:p>
      <w:pPr>
        <w:spacing w:after="0" w:line="240" w:lineRule="auto"/>
        <w:jc w:val="both"/>
        <w:rPr>
          <w:rFonts w:ascii="Arial" w:hAnsi="Arial" w:cs="Arial"/>
          <w:iCs/>
        </w:rPr>
      </w:pPr>
    </w:p>
    <w:p>
      <w:pPr>
        <w:pStyle w:val="ListParagraph"/>
        <w:ind w:left="0"/>
        <w:contextualSpacing/>
        <w:jc w:val="both"/>
        <w:rPr>
          <w:rFonts w:ascii="Arial" w:hAnsi="Arial" w:cs="Arial"/>
          <w:b/>
          <w:sz w:val="22"/>
          <w:szCs w:val="22"/>
        </w:rPr>
      </w:pPr>
      <w:r>
        <w:rPr>
          <w:rFonts w:ascii="Arial" w:hAnsi="Arial" w:cs="Arial"/>
          <w:b/>
          <w:sz w:val="22"/>
          <w:szCs w:val="22"/>
        </w:rPr>
        <w:t xml:space="preserve">SUMMARY OF TOTAL SUSPENSIONS, DISALLOWANCES AND CHARGES </w:t>
      </w:r>
    </w:p>
    <w:p>
      <w:pPr>
        <w:pStyle w:val="ListParagraph"/>
        <w:ind w:left="0"/>
        <w:contextualSpacing/>
        <w:jc w:val="both"/>
        <w:rPr>
          <w:rFonts w:ascii="Arial" w:hAnsi="Arial" w:cs="Arial"/>
          <w:b/>
          <w:sz w:val="22"/>
          <w:szCs w:val="22"/>
        </w:rPr>
      </w:pPr>
    </w:p>
    <w:p>
      <w:pPr>
        <w:spacing w:after="0" w:line="240" w:lineRule="auto"/>
        <w:jc w:val="both"/>
        <w:rPr>
          <w:rFonts w:ascii="Arial" w:eastAsia="Arial" w:hAnsi="Arial" w:cs="Arial"/>
        </w:rPr>
      </w:pPr>
      <w:r>
        <w:rPr>
          <w:rFonts w:ascii="Arial" w:hAnsi="Arial" w:cs="Arial"/>
          <w:color w:val="000000" w:themeColor="text1"/>
        </w:rPr>
        <w:t xml:space="preserve">The unsettled audit suspensions and disallowances as of December 31, 2020 amounted to P87.197 million and P2.778 billion, respectively, and the </w:t>
      </w:r>
      <w:r>
        <w:rPr>
          <w:rFonts w:ascii="Arial" w:hAnsi="Arial" w:cs="Arial"/>
          <w:color w:val="000000" w:themeColor="text1"/>
        </w:rPr>
        <w:lastRenderedPageBreak/>
        <w:t>details and status thereof are shown in Part IV-Annex A of this Report</w:t>
      </w:r>
      <w:r>
        <w:rPr>
          <w:rFonts w:ascii="Arial" w:hAnsi="Arial" w:cs="Arial"/>
        </w:rPr>
        <w:t xml:space="preserve">. </w:t>
      </w:r>
      <w:r>
        <w:rPr>
          <w:rFonts w:ascii="Arial" w:hAnsi="Arial" w:cs="Arial"/>
          <w:color w:val="000000" w:themeColor="text1"/>
        </w:rPr>
        <w:t>There was no Notice of Charge issued during the year</w:t>
      </w:r>
      <w:r>
        <w:rPr>
          <w:rFonts w:ascii="Arial" w:eastAsia="Arial" w:hAnsi="Arial" w:cs="Arial"/>
        </w:rPr>
        <w:t>.</w:t>
      </w:r>
    </w:p>
    <w:p>
      <w:pPr>
        <w:spacing w:after="0" w:line="240" w:lineRule="auto"/>
        <w:jc w:val="both"/>
        <w:rPr>
          <w:rFonts w:ascii="Arial" w:hAnsi="Arial" w:cs="Arial"/>
          <w:b/>
        </w:rPr>
      </w:pPr>
    </w:p>
    <w:p>
      <w:pPr>
        <w:spacing w:after="0" w:line="240" w:lineRule="auto"/>
        <w:jc w:val="both"/>
        <w:rPr>
          <w:rFonts w:ascii="Arial" w:hAnsi="Arial" w:cs="Arial"/>
          <w:b/>
        </w:rPr>
      </w:pPr>
    </w:p>
    <w:p>
      <w:pPr>
        <w:spacing w:after="0" w:line="240" w:lineRule="auto"/>
        <w:jc w:val="both"/>
        <w:rPr>
          <w:rFonts w:ascii="Arial" w:hAnsi="Arial" w:cs="Arial"/>
          <w:b/>
        </w:rPr>
      </w:pPr>
      <w:r>
        <w:rPr>
          <w:rFonts w:ascii="Arial" w:hAnsi="Arial" w:cs="Arial"/>
          <w:b/>
        </w:rPr>
        <w:t>STATUS OF IMPLEMENTATION OF PRIOR YEAR’S AUDIT RECOMMENDATIONS</w:t>
      </w:r>
    </w:p>
    <w:p>
      <w:pPr>
        <w:spacing w:after="0" w:line="240" w:lineRule="auto"/>
        <w:jc w:val="both"/>
        <w:rPr>
          <w:rFonts w:ascii="Arial" w:hAnsi="Arial" w:cs="Arial"/>
          <w:b/>
        </w:rPr>
      </w:pPr>
    </w:p>
    <w:p>
      <w:pPr>
        <w:spacing w:after="0" w:line="240" w:lineRule="auto"/>
        <w:jc w:val="both"/>
        <w:rPr>
          <w:rFonts w:ascii="Arial" w:hAnsi="Arial" w:cs="Arial"/>
        </w:rPr>
      </w:pPr>
      <w:r>
        <w:rPr>
          <w:rFonts w:ascii="Arial" w:hAnsi="Arial" w:cs="Arial"/>
        </w:rPr>
        <w:t>Out of the 29 audit recommendations embodied in the previous year’s Annual Audit Report, seven (7) were fully implemented, 21 were partially implemented and one (1) was not implemented. Details are presented in Part III of this Report.</w:t>
      </w:r>
    </w:p>
    <w:p/>
    <w:sectPr>
      <w:footerReference w:type="default" r:id="rId7"/>
      <w:pgSz w:w="12240" w:h="15840" w:code="1"/>
      <w:pgMar w:top="1440" w:right="1440" w:bottom="1440" w:left="1440" w:header="720" w:footer="720" w:gutter="720"/>
      <w:pgNumType w:fmt="low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799130"/>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v</w:t>
        </w:r>
        <w:r>
          <w:rPr>
            <w:rFonts w:ascii="Arial" w:hAnsi="Arial" w:cs="Arial"/>
            <w:noProof/>
            <w:sz w:val="20"/>
            <w:szCs w:val="20"/>
          </w:rPr>
          <w:fldChar w:fldCharType="end"/>
        </w:r>
      </w:p>
    </w:sdtContent>
  </w:sdt>
  <w:p>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F94"/>
    <w:multiLevelType w:val="multilevel"/>
    <w:tmpl w:val="6238522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308C9"/>
    <w:multiLevelType w:val="hybridMultilevel"/>
    <w:tmpl w:val="E0B2CD22"/>
    <w:lvl w:ilvl="0" w:tplc="307A29B6">
      <w:start w:val="1"/>
      <w:numFmt w:val="lowerLetter"/>
      <w:lvlText w:val="%1."/>
      <w:lvlJc w:val="left"/>
      <w:pPr>
        <w:ind w:left="2160" w:hanging="360"/>
      </w:pPr>
      <w:rPr>
        <w:rFonts w:hint="default"/>
        <w:b w:val="0"/>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 w15:restartNumberingAfterBreak="0">
    <w:nsid w:val="01607FAA"/>
    <w:multiLevelType w:val="multilevel"/>
    <w:tmpl w:val="F3DCFD36"/>
    <w:lvl w:ilvl="0">
      <w:start w:val="4"/>
      <w:numFmt w:val="decimal"/>
      <w:lvlText w:val="%1."/>
      <w:lvlJc w:val="left"/>
      <w:pPr>
        <w:ind w:left="360" w:hanging="360"/>
      </w:pPr>
      <w:rPr>
        <w:rFonts w:hint="default"/>
        <w:b w:val="0"/>
        <w:sz w:val="22"/>
        <w:szCs w:val="22"/>
      </w:rPr>
    </w:lvl>
    <w:lvl w:ilvl="1">
      <w:start w:val="1"/>
      <w:numFmt w:val="decimal"/>
      <w:lvlText w:val="%1.%2"/>
      <w:lvlJc w:val="left"/>
      <w:pPr>
        <w:ind w:left="3904"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119F4352"/>
    <w:multiLevelType w:val="multilevel"/>
    <w:tmpl w:val="DF5417B2"/>
    <w:lvl w:ilvl="0">
      <w:start w:val="4"/>
      <w:numFmt w:val="decimal"/>
      <w:lvlText w:val="%1."/>
      <w:lvlJc w:val="left"/>
      <w:pPr>
        <w:ind w:left="360" w:hanging="36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4" w15:restartNumberingAfterBreak="0">
    <w:nsid w:val="125F0255"/>
    <w:multiLevelType w:val="multilevel"/>
    <w:tmpl w:val="2826BDE4"/>
    <w:lvl w:ilvl="0">
      <w:start w:val="7"/>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5" w15:restartNumberingAfterBreak="0">
    <w:nsid w:val="17886BFA"/>
    <w:multiLevelType w:val="hybridMultilevel"/>
    <w:tmpl w:val="32847FD8"/>
    <w:lvl w:ilvl="0" w:tplc="11B258BA">
      <w:start w:val="1"/>
      <w:numFmt w:val="lowerLetter"/>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6" w15:restartNumberingAfterBreak="0">
    <w:nsid w:val="17E143E9"/>
    <w:multiLevelType w:val="hybridMultilevel"/>
    <w:tmpl w:val="1B6C70F2"/>
    <w:lvl w:ilvl="0" w:tplc="7C52B174">
      <w:start w:val="1"/>
      <w:numFmt w:val="lowerLetter"/>
      <w:lvlText w:val="%1."/>
      <w:lvlJc w:val="left"/>
      <w:pPr>
        <w:ind w:left="1440" w:hanging="360"/>
      </w:pPr>
      <w:rPr>
        <w:color w:val="auto"/>
        <w:sz w:val="22"/>
      </w:rPr>
    </w:lvl>
    <w:lvl w:ilvl="1" w:tplc="34090019">
      <w:start w:val="1"/>
      <w:numFmt w:val="lowerLetter"/>
      <w:lvlText w:val="%2."/>
      <w:lvlJc w:val="left"/>
      <w:pPr>
        <w:ind w:left="2160" w:hanging="360"/>
      </w:pPr>
    </w:lvl>
    <w:lvl w:ilvl="2" w:tplc="3409001B">
      <w:start w:val="1"/>
      <w:numFmt w:val="lowerRoman"/>
      <w:lvlText w:val="%3."/>
      <w:lvlJc w:val="right"/>
      <w:pPr>
        <w:ind w:left="2880" w:hanging="180"/>
      </w:pPr>
    </w:lvl>
    <w:lvl w:ilvl="3" w:tplc="3409000F">
      <w:start w:val="1"/>
      <w:numFmt w:val="decimal"/>
      <w:lvlText w:val="%4."/>
      <w:lvlJc w:val="left"/>
      <w:pPr>
        <w:ind w:left="3600" w:hanging="360"/>
      </w:pPr>
    </w:lvl>
    <w:lvl w:ilvl="4" w:tplc="34090019">
      <w:start w:val="1"/>
      <w:numFmt w:val="lowerLetter"/>
      <w:lvlText w:val="%5."/>
      <w:lvlJc w:val="left"/>
      <w:pPr>
        <w:ind w:left="4320" w:hanging="360"/>
      </w:pPr>
    </w:lvl>
    <w:lvl w:ilvl="5" w:tplc="3409001B">
      <w:start w:val="1"/>
      <w:numFmt w:val="lowerRoman"/>
      <w:lvlText w:val="%6."/>
      <w:lvlJc w:val="right"/>
      <w:pPr>
        <w:ind w:left="5040" w:hanging="180"/>
      </w:pPr>
    </w:lvl>
    <w:lvl w:ilvl="6" w:tplc="3409000F">
      <w:start w:val="1"/>
      <w:numFmt w:val="decimal"/>
      <w:lvlText w:val="%7."/>
      <w:lvlJc w:val="left"/>
      <w:pPr>
        <w:ind w:left="5760" w:hanging="360"/>
      </w:pPr>
    </w:lvl>
    <w:lvl w:ilvl="7" w:tplc="34090019">
      <w:start w:val="1"/>
      <w:numFmt w:val="lowerLetter"/>
      <w:lvlText w:val="%8."/>
      <w:lvlJc w:val="left"/>
      <w:pPr>
        <w:ind w:left="6480" w:hanging="360"/>
      </w:pPr>
    </w:lvl>
    <w:lvl w:ilvl="8" w:tplc="3409001B">
      <w:start w:val="1"/>
      <w:numFmt w:val="lowerRoman"/>
      <w:lvlText w:val="%9."/>
      <w:lvlJc w:val="right"/>
      <w:pPr>
        <w:ind w:left="7200" w:hanging="180"/>
      </w:pPr>
    </w:lvl>
  </w:abstractNum>
  <w:abstractNum w:abstractNumId="7" w15:restartNumberingAfterBreak="0">
    <w:nsid w:val="1EFC505E"/>
    <w:multiLevelType w:val="multilevel"/>
    <w:tmpl w:val="BB620CF8"/>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1F0E22CE"/>
    <w:multiLevelType w:val="multilevel"/>
    <w:tmpl w:val="302C59C4"/>
    <w:lvl w:ilvl="0">
      <w:start w:val="1"/>
      <w:numFmt w:val="decimal"/>
      <w:lvlText w:val="%1."/>
      <w:lvlJc w:val="left"/>
      <w:pPr>
        <w:ind w:left="3554" w:hanging="576"/>
      </w:pPr>
      <w:rPr>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22382C"/>
    <w:multiLevelType w:val="multilevel"/>
    <w:tmpl w:val="3EE2B35C"/>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10" w15:restartNumberingAfterBreak="0">
    <w:nsid w:val="301A1CD6"/>
    <w:multiLevelType w:val="hybridMultilevel"/>
    <w:tmpl w:val="CC36DC18"/>
    <w:lvl w:ilvl="0" w:tplc="8FD21684">
      <w:start w:val="1"/>
      <w:numFmt w:val="lowerLetter"/>
      <w:lvlText w:val="%1."/>
      <w:lvlJc w:val="left"/>
      <w:pPr>
        <w:ind w:left="1778" w:hanging="360"/>
      </w:pPr>
      <w:rPr>
        <w:rFonts w:hint="default"/>
        <w:i w:val="0"/>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11" w15:restartNumberingAfterBreak="0">
    <w:nsid w:val="3BC24999"/>
    <w:multiLevelType w:val="multilevel"/>
    <w:tmpl w:val="1FD8F3B6"/>
    <w:lvl w:ilvl="0">
      <w:start w:val="1"/>
      <w:numFmt w:val="decimal"/>
      <w:lvlText w:val="%1."/>
      <w:lvlJc w:val="left"/>
      <w:pPr>
        <w:ind w:left="360" w:hanging="36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2" w15:restartNumberingAfterBreak="0">
    <w:nsid w:val="3DA77935"/>
    <w:multiLevelType w:val="multilevel"/>
    <w:tmpl w:val="E23CDB1C"/>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FF02AD3"/>
    <w:multiLevelType w:val="multilevel"/>
    <w:tmpl w:val="CA188252"/>
    <w:lvl w:ilvl="0">
      <w:start w:val="6"/>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sz w:val="22"/>
        <w:szCs w:val="22"/>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14" w15:restartNumberingAfterBreak="0">
    <w:nsid w:val="446D5F7B"/>
    <w:multiLevelType w:val="multilevel"/>
    <w:tmpl w:val="44028AAE"/>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4DE33E14"/>
    <w:multiLevelType w:val="hybridMultilevel"/>
    <w:tmpl w:val="CF683F7E"/>
    <w:lvl w:ilvl="0" w:tplc="04090015">
      <w:start w:val="1"/>
      <w:numFmt w:val="upperLetter"/>
      <w:lvlText w:val="%1."/>
      <w:lvlJc w:val="left"/>
      <w:pPr>
        <w:ind w:left="720" w:hanging="360"/>
      </w:pPr>
    </w:lvl>
    <w:lvl w:ilvl="1" w:tplc="4FDE4830">
      <w:start w:val="1"/>
      <w:numFmt w:val="lowerLetter"/>
      <w:lvlText w:val="%2."/>
      <w:lvlJc w:val="left"/>
      <w:pPr>
        <w:ind w:left="1635" w:hanging="555"/>
      </w:pPr>
      <w:rPr>
        <w:b w:val="0"/>
        <w:i w:val="0"/>
      </w:rPr>
    </w:lvl>
    <w:lvl w:ilvl="2" w:tplc="9D5EC380">
      <w:start w:val="1"/>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24A2982"/>
    <w:multiLevelType w:val="hybridMultilevel"/>
    <w:tmpl w:val="DF601A70"/>
    <w:lvl w:ilvl="0" w:tplc="694E6360">
      <w:start w:val="1"/>
      <w:numFmt w:val="lowerLetter"/>
      <w:lvlText w:val="%1."/>
      <w:lvlJc w:val="left"/>
      <w:pPr>
        <w:ind w:left="1080" w:hanging="360"/>
      </w:pPr>
      <w:rPr>
        <w:rFonts w:eastAsia="Calibri"/>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17" w15:restartNumberingAfterBreak="0">
    <w:nsid w:val="601F4F29"/>
    <w:multiLevelType w:val="hybridMultilevel"/>
    <w:tmpl w:val="63F4F26C"/>
    <w:lvl w:ilvl="0" w:tplc="74D0CD6A">
      <w:start w:val="1"/>
      <w:numFmt w:val="lowerRoman"/>
      <w:lvlText w:val="%1."/>
      <w:lvlJc w:val="left"/>
      <w:pPr>
        <w:ind w:left="1713" w:hanging="720"/>
      </w:pPr>
      <w:rPr>
        <w:rFonts w:ascii="Arial" w:hAnsi="Arial" w:cs="Arial" w:hint="default"/>
        <w:i/>
      </w:rPr>
    </w:lvl>
    <w:lvl w:ilvl="1" w:tplc="DAF45100">
      <w:start w:val="1"/>
      <w:numFmt w:val="lowerLetter"/>
      <w:lvlText w:val="%2."/>
      <w:lvlJc w:val="left"/>
      <w:pPr>
        <w:ind w:left="2073" w:hanging="360"/>
      </w:pPr>
      <w:rPr>
        <w:rFonts w:hint="default"/>
        <w:b w:val="0"/>
        <w:i w:val="0"/>
      </w:rPr>
    </w:lvl>
    <w:lvl w:ilvl="2" w:tplc="3409001B">
      <w:start w:val="1"/>
      <w:numFmt w:val="lowerRoman"/>
      <w:lvlText w:val="%3."/>
      <w:lvlJc w:val="right"/>
      <w:pPr>
        <w:ind w:left="2793" w:hanging="180"/>
      </w:pPr>
    </w:lvl>
    <w:lvl w:ilvl="3" w:tplc="3409000F">
      <w:start w:val="1"/>
      <w:numFmt w:val="decimal"/>
      <w:lvlText w:val="%4."/>
      <w:lvlJc w:val="left"/>
      <w:pPr>
        <w:ind w:left="3513" w:hanging="360"/>
      </w:pPr>
    </w:lvl>
    <w:lvl w:ilvl="4" w:tplc="AEC8B78E">
      <w:start w:val="1"/>
      <w:numFmt w:val="lowerLetter"/>
      <w:lvlText w:val="%5."/>
      <w:lvlJc w:val="left"/>
      <w:pPr>
        <w:ind w:left="4233" w:hanging="360"/>
      </w:pPr>
      <w:rPr>
        <w:b w:val="0"/>
        <w:i w:val="0"/>
      </w:rPr>
    </w:lvl>
    <w:lvl w:ilvl="5" w:tplc="3409001B">
      <w:start w:val="1"/>
      <w:numFmt w:val="lowerRoman"/>
      <w:lvlText w:val="%6."/>
      <w:lvlJc w:val="right"/>
      <w:pPr>
        <w:ind w:left="4953" w:hanging="180"/>
      </w:pPr>
    </w:lvl>
    <w:lvl w:ilvl="6" w:tplc="3409000F">
      <w:start w:val="1"/>
      <w:numFmt w:val="decimal"/>
      <w:lvlText w:val="%7."/>
      <w:lvlJc w:val="left"/>
      <w:pPr>
        <w:ind w:left="5673" w:hanging="360"/>
      </w:pPr>
    </w:lvl>
    <w:lvl w:ilvl="7" w:tplc="34090019">
      <w:start w:val="1"/>
      <w:numFmt w:val="lowerLetter"/>
      <w:lvlText w:val="%8."/>
      <w:lvlJc w:val="left"/>
      <w:pPr>
        <w:ind w:left="6393" w:hanging="360"/>
      </w:pPr>
    </w:lvl>
    <w:lvl w:ilvl="8" w:tplc="3409001B">
      <w:start w:val="1"/>
      <w:numFmt w:val="lowerRoman"/>
      <w:lvlText w:val="%9."/>
      <w:lvlJc w:val="right"/>
      <w:pPr>
        <w:ind w:left="7113" w:hanging="180"/>
      </w:pPr>
    </w:lvl>
  </w:abstractNum>
  <w:abstractNum w:abstractNumId="18" w15:restartNumberingAfterBreak="0">
    <w:nsid w:val="619613D3"/>
    <w:multiLevelType w:val="hybridMultilevel"/>
    <w:tmpl w:val="0E4616D8"/>
    <w:lvl w:ilvl="0" w:tplc="9F5ADF52">
      <w:start w:val="1"/>
      <w:numFmt w:val="lowerLetter"/>
      <w:lvlText w:val="%1."/>
      <w:lvlJc w:val="left"/>
      <w:pPr>
        <w:ind w:left="1440" w:hanging="360"/>
      </w:pPr>
      <w:rPr>
        <w:rFonts w:hint="default"/>
        <w:b w:val="0"/>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9" w15:restartNumberingAfterBreak="0">
    <w:nsid w:val="6CC47B5E"/>
    <w:multiLevelType w:val="multilevel"/>
    <w:tmpl w:val="B92EAF70"/>
    <w:lvl w:ilvl="0">
      <w:start w:val="2"/>
      <w:numFmt w:val="decimal"/>
      <w:lvlText w:val="%1."/>
      <w:lvlJc w:val="left"/>
      <w:pPr>
        <w:ind w:left="360" w:hanging="360"/>
      </w:pPr>
      <w:rPr>
        <w:b w:val="0"/>
      </w:rPr>
    </w:lvl>
    <w:lvl w:ilvl="1">
      <w:start w:val="1"/>
      <w:numFmt w:val="decimal"/>
      <w:lvlText w:val="%1.%2."/>
      <w:lvlJc w:val="left"/>
      <w:pPr>
        <w:ind w:left="1288" w:hanging="720"/>
      </w:pPr>
      <w:rPr>
        <w:b w:val="0"/>
        <w:i w:val="0"/>
        <w:sz w:val="22"/>
        <w:szCs w:val="22"/>
      </w:rPr>
    </w:lvl>
    <w:lvl w:ilvl="2">
      <w:start w:val="1"/>
      <w:numFmt w:val="decimal"/>
      <w:lvlText w:val="%1.%2.%3."/>
      <w:lvlJc w:val="left"/>
      <w:pPr>
        <w:ind w:left="1856" w:hanging="720"/>
      </w:pPr>
      <w:rPr>
        <w:b w:val="0"/>
      </w:rPr>
    </w:lvl>
    <w:lvl w:ilvl="3">
      <w:start w:val="1"/>
      <w:numFmt w:val="decimal"/>
      <w:lvlText w:val="%1.%2.%3.%4."/>
      <w:lvlJc w:val="left"/>
      <w:pPr>
        <w:ind w:left="2784" w:hanging="1080"/>
      </w:pPr>
      <w:rPr>
        <w:b w:val="0"/>
      </w:rPr>
    </w:lvl>
    <w:lvl w:ilvl="4">
      <w:start w:val="1"/>
      <w:numFmt w:val="decimal"/>
      <w:lvlText w:val="%1.%2.%3.%4.%5."/>
      <w:lvlJc w:val="left"/>
      <w:pPr>
        <w:ind w:left="3352" w:hanging="1080"/>
      </w:pPr>
      <w:rPr>
        <w:b w:val="0"/>
      </w:rPr>
    </w:lvl>
    <w:lvl w:ilvl="5">
      <w:start w:val="1"/>
      <w:numFmt w:val="decimal"/>
      <w:lvlText w:val="%1.%2.%3.%4.%5.%6."/>
      <w:lvlJc w:val="left"/>
      <w:pPr>
        <w:ind w:left="4280" w:hanging="1440"/>
      </w:pPr>
      <w:rPr>
        <w:b w:val="0"/>
      </w:rPr>
    </w:lvl>
    <w:lvl w:ilvl="6">
      <w:start w:val="1"/>
      <w:numFmt w:val="decimal"/>
      <w:lvlText w:val="%1.%2.%3.%4.%5.%6.%7."/>
      <w:lvlJc w:val="left"/>
      <w:pPr>
        <w:ind w:left="4848" w:hanging="1440"/>
      </w:pPr>
      <w:rPr>
        <w:b w:val="0"/>
      </w:rPr>
    </w:lvl>
    <w:lvl w:ilvl="7">
      <w:start w:val="1"/>
      <w:numFmt w:val="decimal"/>
      <w:lvlText w:val="%1.%2.%3.%4.%5.%6.%7.%8."/>
      <w:lvlJc w:val="left"/>
      <w:pPr>
        <w:ind w:left="5776" w:hanging="1800"/>
      </w:pPr>
      <w:rPr>
        <w:b w:val="0"/>
      </w:rPr>
    </w:lvl>
    <w:lvl w:ilvl="8">
      <w:start w:val="1"/>
      <w:numFmt w:val="decimal"/>
      <w:lvlText w:val="%1.%2.%3.%4.%5.%6.%7.%8.%9."/>
      <w:lvlJc w:val="left"/>
      <w:pPr>
        <w:ind w:left="6344" w:hanging="1800"/>
      </w:pPr>
      <w:rPr>
        <w:b w:val="0"/>
      </w:rPr>
    </w:lvl>
  </w:abstractNum>
  <w:abstractNum w:abstractNumId="20" w15:restartNumberingAfterBreak="0">
    <w:nsid w:val="781C2C64"/>
    <w:multiLevelType w:val="hybridMultilevel"/>
    <w:tmpl w:val="A4947382"/>
    <w:lvl w:ilvl="0" w:tplc="AE9076A0">
      <w:start w:val="1"/>
      <w:numFmt w:val="lowerLetter"/>
      <w:lvlText w:val="%1."/>
      <w:lvlJc w:val="left"/>
      <w:pPr>
        <w:ind w:left="2160" w:hanging="360"/>
      </w:pPr>
      <w:rPr>
        <w:b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9"/>
  </w:num>
  <w:num w:numId="11">
    <w:abstractNumId w:val="2"/>
  </w:num>
  <w:num w:numId="12">
    <w:abstractNumId w:val="10"/>
  </w:num>
  <w:num w:numId="13">
    <w:abstractNumId w:val="3"/>
  </w:num>
  <w:num w:numId="14">
    <w:abstractNumId w:val="1"/>
  </w:num>
  <w:num w:numId="15">
    <w:abstractNumId w:val="12"/>
  </w:num>
  <w:num w:numId="16">
    <w:abstractNumId w:val="17"/>
  </w:num>
  <w:num w:numId="17">
    <w:abstractNumId w:val="20"/>
  </w:num>
  <w:num w:numId="18">
    <w:abstractNumId w:val="13"/>
  </w:num>
  <w:num w:numId="19">
    <w:abstractNumId w:val="4"/>
  </w:num>
  <w:num w:numId="20">
    <w:abstractNumId w:val="15"/>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nd5LZgMTOFx818YJc61uP7AoybFVtOLU+CQB9BGfZ34qoeLk6cFAOFCwDtO6IJ4Bi2/RxbixGwhKJwnNle8FIA==" w:salt="k8vPnxp3iBnxokHrJkagQw=="/>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D075F-C2D3-4104-B80D-7E65AD5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Pr>
      <w:rFonts w:ascii="Times New Roman" w:eastAsia="Times New Roman" w:hAnsi="Times New Roman" w:cs="Times New Roman"/>
      <w:b/>
      <w:sz w:val="24"/>
      <w:szCs w:val="20"/>
      <w:lang w:val="en-US"/>
    </w:rPr>
  </w:style>
  <w:style w:type="character" w:customStyle="1" w:styleId="NoSpacingChar">
    <w:name w:val="No Spacing Char"/>
    <w:link w:val="NoSpacing"/>
    <w:uiPriority w:val="1"/>
    <w:locked/>
    <w:rPr>
      <w:lang w:eastAsia="ar-SA"/>
    </w:rPr>
  </w:style>
  <w:style w:type="paragraph" w:styleId="NoSpacing">
    <w:name w:val="No Spacing"/>
    <w:link w:val="NoSpacingChar"/>
    <w:uiPriority w:val="1"/>
    <w:qFormat/>
    <w:pPr>
      <w:suppressAutoHyphens/>
      <w:spacing w:after="0" w:line="240" w:lineRule="auto"/>
    </w:pPr>
    <w:rPr>
      <w:lang w:eastAsia="ar-SA"/>
    </w:rPr>
  </w:style>
  <w:style w:type="character" w:customStyle="1" w:styleId="ListParagraphChar">
    <w:name w:val="List Paragraph Char"/>
    <w:aliases w:val="Resume Title Char,List Paragraph1 Char,Colorful List - Accent 11 Char"/>
    <w:link w:val="ListParagraph"/>
    <w:uiPriority w:val="34"/>
    <w:qFormat/>
    <w:locked/>
    <w:rPr>
      <w:rFonts w:ascii="Times New Roman" w:eastAsia="Times New Roman" w:hAnsi="Times New Roman" w:cs="Times New Roman"/>
      <w:sz w:val="24"/>
      <w:szCs w:val="24"/>
    </w:rPr>
  </w:style>
  <w:style w:type="paragraph" w:styleId="ListParagraph">
    <w:name w:val="List Paragraph"/>
    <w:aliases w:val="Resume Title,List Paragraph1,Colorful List - Accent 11"/>
    <w:basedOn w:val="Normal"/>
    <w:link w:val="ListParagraphChar"/>
    <w:uiPriority w:val="34"/>
    <w:qFormat/>
    <w:pPr>
      <w:spacing w:after="0" w:line="240" w:lineRule="auto"/>
      <w:ind w:left="720"/>
    </w:pPr>
    <w:rPr>
      <w:rFonts w:ascii="Times New Roman" w:eastAsia="Times New Roman" w:hAnsi="Times New Roman"/>
      <w:sz w:val="24"/>
      <w:szCs w:val="24"/>
    </w:rPr>
  </w:style>
  <w:style w:type="table" w:styleId="TableGrid">
    <w:name w:val="Table Grid"/>
    <w:basedOn w:val="TableNormal"/>
    <w:uiPriority w:val="39"/>
    <w:pPr>
      <w:spacing w:after="0" w:line="240" w:lineRule="auto"/>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91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2523</Words>
  <Characters>14385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COA - Philippine Charity Sweepstakes Office</dc:creator>
  <cp:keywords/>
  <dc:description/>
  <cp:lastModifiedBy>Ben A. Lazo, Jr.</cp:lastModifiedBy>
  <cp:revision>13</cp:revision>
  <cp:lastPrinted>2021-07-27T04:27:00Z</cp:lastPrinted>
  <dcterms:created xsi:type="dcterms:W3CDTF">2021-07-26T06:51:00Z</dcterms:created>
  <dcterms:modified xsi:type="dcterms:W3CDTF">2021-08-02T06:05:00Z</dcterms:modified>
</cp:coreProperties>
</file>