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jc w:val="center"/>
        <w:rPr>
          <w:rFonts w:ascii="Arial" w:hAnsi="Arial" w:cs="Arial"/>
          <w:b/>
        </w:rPr>
      </w:pPr>
      <w:bookmarkStart w:id="0" w:name="_GoBack"/>
      <w:bookmarkEnd w:id="0"/>
      <w:r>
        <w:rPr>
          <w:rFonts w:ascii="Arial" w:hAnsi="Arial" w:cs="Arial"/>
          <w:b/>
        </w:rPr>
        <w:t>PART II – OBSERVATIONS AND RECOMMENDATIONS</w:t>
      </w:r>
    </w:p>
    <w:p>
      <w:pPr>
        <w:spacing w:after="0" w:line="240" w:lineRule="auto"/>
        <w:jc w:val="both"/>
        <w:rPr>
          <w:rFonts w:ascii="Arial" w:hAnsi="Arial" w:cs="Arial"/>
          <w:b/>
        </w:rPr>
      </w:pPr>
    </w:p>
    <w:p>
      <w:pPr>
        <w:spacing w:after="0" w:line="240" w:lineRule="auto"/>
        <w:jc w:val="both"/>
        <w:rPr>
          <w:rFonts w:ascii="Arial" w:hAnsi="Arial" w:cs="Arial"/>
          <w:b/>
        </w:rPr>
      </w:pPr>
    </w:p>
    <w:p>
      <w:pPr>
        <w:pStyle w:val="ListParagraph"/>
        <w:numPr>
          <w:ilvl w:val="0"/>
          <w:numId w:val="2"/>
        </w:numPr>
        <w:ind w:hanging="720"/>
        <w:contextualSpacing/>
        <w:jc w:val="both"/>
        <w:rPr>
          <w:rFonts w:ascii="Arial" w:hAnsi="Arial" w:cs="Arial"/>
          <w:b/>
          <w:sz w:val="22"/>
          <w:szCs w:val="22"/>
          <w:u w:val="single"/>
          <w:lang w:eastAsia="en-PH"/>
        </w:rPr>
      </w:pPr>
      <w:r>
        <w:rPr>
          <w:rFonts w:ascii="Arial" w:hAnsi="Arial" w:cs="Arial"/>
          <w:b/>
          <w:sz w:val="22"/>
          <w:szCs w:val="22"/>
          <w:u w:val="single"/>
          <w:lang w:eastAsia="en-PH"/>
        </w:rPr>
        <w:t>FINANCIAL</w:t>
      </w:r>
    </w:p>
    <w:p>
      <w:pPr>
        <w:pStyle w:val="ListParagraph"/>
        <w:jc w:val="both"/>
        <w:rPr>
          <w:rFonts w:ascii="Arial" w:hAnsi="Arial" w:cs="Arial"/>
          <w:sz w:val="22"/>
          <w:szCs w:val="22"/>
        </w:rPr>
      </w:pPr>
    </w:p>
    <w:p>
      <w:pPr>
        <w:pStyle w:val="ListParagraph"/>
        <w:numPr>
          <w:ilvl w:val="0"/>
          <w:numId w:val="1"/>
        </w:numPr>
        <w:ind w:left="709" w:hanging="709"/>
        <w:jc w:val="both"/>
        <w:rPr>
          <w:rFonts w:ascii="Arial" w:hAnsi="Arial" w:cs="Arial"/>
          <w:b/>
          <w:bCs/>
          <w:sz w:val="22"/>
          <w:szCs w:val="22"/>
        </w:rPr>
      </w:pPr>
      <w:r>
        <w:rPr>
          <w:rFonts w:ascii="Arial" w:hAnsi="Arial" w:cs="Arial"/>
          <w:b/>
          <w:bCs/>
          <w:sz w:val="22"/>
          <w:szCs w:val="22"/>
        </w:rPr>
        <w:t xml:space="preserve">The </w:t>
      </w:r>
      <w:r>
        <w:rPr>
          <w:rFonts w:ascii="Arial" w:hAnsi="Arial" w:cs="Arial"/>
          <w:b/>
          <w:sz w:val="22"/>
          <w:szCs w:val="22"/>
          <w:lang w:val="en-PH" w:eastAsia="ar-SA"/>
        </w:rPr>
        <w:t xml:space="preserve">inclusion of an accrual for the 2020 Performance-Based Bonus (PBB) in the total amount of P24.504 million despite the absence of legal basis, hence not a valid obligation, resulted in the overstatement of the Financial Liabilities-Accounts Payable (FL-AP) and Other Bonuses and Allowances accounts by the same amount. Likewise, the </w:t>
      </w:r>
      <w:r>
        <w:rPr>
          <w:rFonts w:ascii="Arial" w:hAnsi="Arial" w:cs="Arial"/>
          <w:b/>
          <w:bCs/>
          <w:sz w:val="22"/>
          <w:szCs w:val="22"/>
        </w:rPr>
        <w:t xml:space="preserve">faithful representation in the financial statements as of December 31, 2020 of the FL-AP account amounting to P8.488 billion could not be established due to the noted deficiencies enumerated below, contrary to Qualitative Characteristic (QC)12, QC15 and QC26 of the Conceptual Framework for General Purpose Financial Reporting (CFGPFR) and Paragraph 15 of the Philippine Accounting Standards (PAS) 1: </w:t>
      </w:r>
    </w:p>
    <w:p>
      <w:pPr>
        <w:pStyle w:val="ListParagraph"/>
        <w:ind w:left="1276"/>
        <w:jc w:val="both"/>
        <w:rPr>
          <w:rFonts w:ascii="Arial" w:hAnsi="Arial" w:cs="Arial"/>
          <w:b/>
          <w:bCs/>
          <w:sz w:val="22"/>
          <w:szCs w:val="22"/>
        </w:rPr>
      </w:pPr>
    </w:p>
    <w:p>
      <w:pPr>
        <w:pStyle w:val="ListParagraph"/>
        <w:numPr>
          <w:ilvl w:val="1"/>
          <w:numId w:val="2"/>
        </w:numPr>
        <w:ind w:left="1276" w:hanging="567"/>
        <w:jc w:val="both"/>
        <w:rPr>
          <w:rFonts w:ascii="Arial" w:hAnsi="Arial" w:cs="Arial"/>
          <w:b/>
          <w:bCs/>
          <w:sz w:val="22"/>
          <w:szCs w:val="22"/>
        </w:rPr>
      </w:pPr>
      <w:r>
        <w:rPr>
          <w:rFonts w:ascii="Arial" w:hAnsi="Arial" w:cs="Arial"/>
          <w:b/>
          <w:sz w:val="22"/>
          <w:szCs w:val="22"/>
        </w:rPr>
        <w:t>A discrepancy of P133.991 million existed between the balances of the Vouchers Payable – Charity Fund (VP-CF) account per General Ledger (GL) of P1,114.104 million and per supporting schedules of P980.113 million;</w:t>
      </w:r>
    </w:p>
    <w:p>
      <w:pPr>
        <w:pStyle w:val="ListParagraph"/>
        <w:ind w:left="1276"/>
        <w:jc w:val="both"/>
        <w:rPr>
          <w:rFonts w:ascii="Arial" w:hAnsi="Arial" w:cs="Arial"/>
          <w:b/>
          <w:bCs/>
          <w:sz w:val="22"/>
          <w:szCs w:val="22"/>
        </w:rPr>
      </w:pPr>
    </w:p>
    <w:p>
      <w:pPr>
        <w:pStyle w:val="ListParagraph"/>
        <w:numPr>
          <w:ilvl w:val="1"/>
          <w:numId w:val="2"/>
        </w:numPr>
        <w:ind w:left="1276" w:hanging="567"/>
        <w:jc w:val="both"/>
        <w:rPr>
          <w:rFonts w:ascii="Arial" w:hAnsi="Arial" w:cs="Arial"/>
          <w:b/>
          <w:bCs/>
          <w:sz w:val="22"/>
          <w:szCs w:val="22"/>
        </w:rPr>
      </w:pPr>
      <w:r>
        <w:rPr>
          <w:rFonts w:ascii="Arial" w:hAnsi="Arial" w:cs="Arial"/>
          <w:b/>
          <w:sz w:val="22"/>
          <w:szCs w:val="22"/>
        </w:rPr>
        <w:t>Non-maintenance  of Subsidiary Ledger (SL) for each creditor that would support the GL balances as of December 31, 2020 of the VP-CF account amounting to P1,114.104 million as well as the AP-Miscellaneous account in the amount of P6.976 billion; and</w:t>
      </w:r>
    </w:p>
    <w:p>
      <w:pPr>
        <w:pStyle w:val="ListParagraph"/>
        <w:rPr>
          <w:rFonts w:ascii="Arial" w:hAnsi="Arial" w:cs="Arial"/>
          <w:b/>
          <w:bCs/>
          <w:sz w:val="22"/>
          <w:szCs w:val="22"/>
        </w:rPr>
      </w:pPr>
    </w:p>
    <w:p>
      <w:pPr>
        <w:pStyle w:val="ListParagraph"/>
        <w:numPr>
          <w:ilvl w:val="1"/>
          <w:numId w:val="2"/>
        </w:numPr>
        <w:ind w:left="1276" w:hanging="567"/>
        <w:jc w:val="both"/>
        <w:rPr>
          <w:rFonts w:ascii="Arial" w:hAnsi="Arial" w:cs="Arial"/>
          <w:b/>
          <w:bCs/>
          <w:sz w:val="22"/>
          <w:szCs w:val="22"/>
        </w:rPr>
      </w:pPr>
      <w:r>
        <w:rPr>
          <w:rFonts w:ascii="Arial" w:hAnsi="Arial" w:cs="Arial"/>
          <w:b/>
          <w:sz w:val="22"/>
          <w:szCs w:val="22"/>
        </w:rPr>
        <w:t xml:space="preserve">Existence of P127.647 million and P2.195 billion liabilities under the VP-CF and AP-Miscellaneous accounts, respectively, that remained outstanding for more than two years, against which no actual claims had been filed. </w:t>
      </w:r>
    </w:p>
    <w:p>
      <w:pPr>
        <w:pStyle w:val="ListParagraph"/>
        <w:ind w:left="732"/>
        <w:jc w:val="both"/>
        <w:rPr>
          <w:rFonts w:ascii="Arial" w:hAnsi="Arial" w:cs="Arial"/>
          <w:b/>
          <w:sz w:val="22"/>
          <w:szCs w:val="22"/>
        </w:rPr>
      </w:pPr>
    </w:p>
    <w:p>
      <w:pPr>
        <w:pStyle w:val="ListParagraph"/>
        <w:ind w:left="709" w:right="2970"/>
        <w:contextualSpacing/>
        <w:jc w:val="both"/>
        <w:rPr>
          <w:rFonts w:ascii="Arial" w:hAnsi="Arial" w:cs="Arial"/>
          <w:i/>
          <w:sz w:val="22"/>
          <w:szCs w:val="22"/>
          <w:lang w:val="en-PH" w:eastAsia="ar-SA"/>
        </w:rPr>
      </w:pPr>
      <w:r>
        <w:rPr>
          <w:rFonts w:ascii="Arial" w:hAnsi="Arial" w:cs="Arial"/>
          <w:i/>
          <w:sz w:val="22"/>
          <w:szCs w:val="22"/>
          <w:lang w:val="en-PH" w:eastAsia="ar-SA"/>
        </w:rPr>
        <w:t>Inclusion of an accrual for the 2020 PBB in the total amount of P24.504 million despite the absence of legal basis, hence, not a valid obligation resulted in the overstatement of the FL-AP and Other Bonuses and Allowances accounts by the same amount</w:t>
      </w:r>
    </w:p>
    <w:p>
      <w:pPr>
        <w:pStyle w:val="ListParagraph"/>
        <w:ind w:left="1440"/>
        <w:contextualSpacing/>
        <w:jc w:val="both"/>
        <w:rPr>
          <w:rFonts w:ascii="Arial" w:hAnsi="Arial" w:cs="Arial"/>
          <w:bCs/>
          <w:sz w:val="22"/>
          <w:szCs w:val="22"/>
        </w:rPr>
      </w:pPr>
    </w:p>
    <w:p>
      <w:pPr>
        <w:pStyle w:val="ListParagraph"/>
        <w:numPr>
          <w:ilvl w:val="1"/>
          <w:numId w:val="15"/>
        </w:numPr>
        <w:ind w:left="1418" w:hanging="709"/>
        <w:contextualSpacing/>
        <w:jc w:val="both"/>
        <w:rPr>
          <w:rFonts w:ascii="Arial" w:hAnsi="Arial" w:cs="Arial"/>
          <w:bCs/>
          <w:sz w:val="22"/>
          <w:szCs w:val="22"/>
        </w:rPr>
      </w:pPr>
      <w:r>
        <w:rPr>
          <w:rFonts w:ascii="Arial" w:hAnsi="Arial" w:cs="Arial"/>
          <w:bCs/>
          <w:sz w:val="22"/>
          <w:szCs w:val="22"/>
        </w:rPr>
        <w:t>Paragraph 4.46 of the CFGPFR provides that:</w:t>
      </w:r>
    </w:p>
    <w:p>
      <w:pPr>
        <w:pStyle w:val="ListParagraph"/>
        <w:ind w:left="1440"/>
        <w:contextualSpacing/>
        <w:jc w:val="both"/>
        <w:rPr>
          <w:rFonts w:ascii="Arial" w:hAnsi="Arial" w:cs="Arial"/>
          <w:bCs/>
          <w:sz w:val="22"/>
          <w:szCs w:val="22"/>
        </w:rPr>
      </w:pPr>
    </w:p>
    <w:p>
      <w:pPr>
        <w:pStyle w:val="ListParagraph"/>
        <w:ind w:left="1985" w:right="691"/>
        <w:jc w:val="both"/>
        <w:rPr>
          <w:rFonts w:ascii="Arial" w:hAnsi="Arial" w:cs="Arial"/>
          <w:bCs/>
          <w:i/>
          <w:iCs/>
          <w:sz w:val="22"/>
          <w:szCs w:val="22"/>
          <w:lang w:val="en-PH" w:eastAsia="ar-SA"/>
        </w:rPr>
      </w:pPr>
      <w:r>
        <w:rPr>
          <w:rFonts w:ascii="Arial" w:hAnsi="Arial" w:cs="Arial"/>
          <w:bCs/>
          <w:i/>
          <w:iCs/>
          <w:sz w:val="22"/>
          <w:szCs w:val="22"/>
          <w:lang w:val="en-PH" w:eastAsia="ar-SA"/>
        </w:rPr>
        <w:t>A liability is recognized in the balance sheet  when it is probable that an outflow of resources embodying future economic benefits will result from the settlement of a present obligation and the amount at which the settlement will take place can be measured reliably.</w:t>
      </w:r>
    </w:p>
    <w:p>
      <w:pPr>
        <w:pStyle w:val="ListParagraph"/>
        <w:ind w:left="1440"/>
        <w:contextualSpacing/>
        <w:jc w:val="both"/>
        <w:rPr>
          <w:rFonts w:ascii="Arial" w:hAnsi="Arial" w:cs="Arial"/>
          <w:b/>
          <w:sz w:val="22"/>
          <w:szCs w:val="22"/>
        </w:rPr>
      </w:pPr>
      <w:r>
        <w:rPr>
          <w:rFonts w:ascii="Arial" w:hAnsi="Arial" w:cs="Arial"/>
          <w:b/>
          <w:sz w:val="22"/>
          <w:szCs w:val="22"/>
        </w:rPr>
        <w:t xml:space="preserve"> </w:t>
      </w:r>
    </w:p>
    <w:p>
      <w:pPr>
        <w:pStyle w:val="ListParagraph"/>
        <w:numPr>
          <w:ilvl w:val="1"/>
          <w:numId w:val="15"/>
        </w:numPr>
        <w:ind w:left="1418" w:hanging="709"/>
        <w:contextualSpacing/>
        <w:jc w:val="both"/>
        <w:rPr>
          <w:rFonts w:ascii="Arial" w:hAnsi="Arial" w:cs="Arial"/>
          <w:bCs/>
          <w:sz w:val="22"/>
          <w:szCs w:val="22"/>
        </w:rPr>
      </w:pPr>
      <w:r>
        <w:rPr>
          <w:rFonts w:ascii="Arial" w:hAnsi="Arial" w:cs="Arial"/>
          <w:bCs/>
          <w:sz w:val="22"/>
          <w:szCs w:val="22"/>
        </w:rPr>
        <w:t>Moreover, Section 59 of Presidential Decree (PD) No. 1445 states:</w:t>
      </w:r>
    </w:p>
    <w:p>
      <w:pPr>
        <w:pStyle w:val="ListParagraph"/>
        <w:ind w:left="1440"/>
        <w:contextualSpacing/>
        <w:jc w:val="both"/>
        <w:rPr>
          <w:rFonts w:ascii="Arial" w:hAnsi="Arial" w:cs="Arial"/>
          <w:bCs/>
          <w:sz w:val="22"/>
          <w:szCs w:val="22"/>
        </w:rPr>
      </w:pPr>
    </w:p>
    <w:p>
      <w:pPr>
        <w:spacing w:after="0" w:line="240" w:lineRule="auto"/>
        <w:ind w:left="1800" w:right="691"/>
        <w:jc w:val="both"/>
        <w:rPr>
          <w:rFonts w:ascii="Arial" w:hAnsi="Arial" w:cs="Arial"/>
          <w:i/>
          <w:lang w:eastAsia="ar-SA"/>
        </w:rPr>
      </w:pPr>
      <w:r>
        <w:rPr>
          <w:rFonts w:ascii="Arial" w:hAnsi="Arial" w:cs="Arial"/>
          <w:i/>
          <w:lang w:eastAsia="ar-SA"/>
        </w:rPr>
        <w:t xml:space="preserve">In the audit of liabilities, the auditor shall seek to establish that all obligations of the agency have been accurately recorded; </w:t>
      </w:r>
      <w:r>
        <w:rPr>
          <w:rFonts w:ascii="Arial" w:hAnsi="Arial" w:cs="Arial"/>
          <w:i/>
          <w:lang w:eastAsia="ar-SA"/>
        </w:rPr>
        <w:lastRenderedPageBreak/>
        <w:t>only bonafide/legitimate obligations of the agency have been included; the obligations incurred are properly authorized xxx.</w:t>
      </w:r>
    </w:p>
    <w:p>
      <w:pPr>
        <w:spacing w:after="0" w:line="240" w:lineRule="auto"/>
        <w:ind w:left="1800" w:right="691"/>
        <w:jc w:val="both"/>
        <w:rPr>
          <w:rFonts w:ascii="Arial" w:hAnsi="Arial" w:cs="Arial"/>
          <w:i/>
          <w:lang w:eastAsia="ar-SA"/>
        </w:rPr>
      </w:pPr>
    </w:p>
    <w:p>
      <w:pPr>
        <w:pStyle w:val="ListParagraph"/>
        <w:numPr>
          <w:ilvl w:val="1"/>
          <w:numId w:val="15"/>
        </w:numPr>
        <w:ind w:left="1418" w:hanging="709"/>
        <w:contextualSpacing/>
        <w:jc w:val="both"/>
        <w:rPr>
          <w:rFonts w:ascii="Arial" w:hAnsi="Arial" w:cs="Arial"/>
          <w:b/>
          <w:sz w:val="22"/>
          <w:szCs w:val="22"/>
        </w:rPr>
      </w:pPr>
      <w:r>
        <w:rPr>
          <w:rFonts w:ascii="Arial" w:hAnsi="Arial" w:cs="Arial"/>
          <w:sz w:val="22"/>
          <w:szCs w:val="22"/>
          <w:lang w:val="en-PH" w:eastAsia="ar-SA"/>
        </w:rPr>
        <w:t xml:space="preserve">Examination of the Accounting records revealed that the </w:t>
      </w:r>
      <w:r>
        <w:rPr>
          <w:rFonts w:ascii="Arial" w:hAnsi="Arial" w:cs="Arial"/>
          <w:sz w:val="22"/>
          <w:szCs w:val="22"/>
        </w:rPr>
        <w:t xml:space="preserve">PBB for CY 2020 amounting to P24.504 million </w:t>
      </w:r>
      <w:r>
        <w:rPr>
          <w:rFonts w:ascii="Arial" w:hAnsi="Arial" w:cs="Arial"/>
          <w:sz w:val="22"/>
          <w:szCs w:val="22"/>
          <w:lang w:val="en-PH" w:eastAsia="ar-SA"/>
        </w:rPr>
        <w:t>were accrued as of December 31, 2020. T</w:t>
      </w:r>
      <w:r>
        <w:rPr>
          <w:rFonts w:ascii="Arial" w:hAnsi="Arial" w:cs="Arial"/>
          <w:sz w:val="22"/>
          <w:szCs w:val="22"/>
        </w:rPr>
        <w:t>he said accrual was supported merely by a list of names of employees with corresponding amount of incentive to be received.  No validated Scorecard from the Governance Commission for Government-Owned or Controlled Corporations (GCG) was attached, as required under Paragraph 3 of GCG Memorandum Circular No. 2019-02, which provides:</w:t>
      </w:r>
    </w:p>
    <w:p>
      <w:pPr>
        <w:pStyle w:val="ListParagraph"/>
        <w:ind w:left="1440"/>
        <w:contextualSpacing/>
        <w:jc w:val="both"/>
        <w:rPr>
          <w:rFonts w:ascii="Arial" w:hAnsi="Arial" w:cs="Arial"/>
          <w:b/>
          <w:sz w:val="22"/>
          <w:szCs w:val="22"/>
        </w:rPr>
      </w:pPr>
    </w:p>
    <w:p>
      <w:pPr>
        <w:pStyle w:val="ListParagraph"/>
        <w:ind w:left="1985" w:right="691"/>
        <w:contextualSpacing/>
        <w:jc w:val="both"/>
        <w:rPr>
          <w:rFonts w:ascii="Arial" w:hAnsi="Arial" w:cs="Arial"/>
          <w:sz w:val="22"/>
          <w:szCs w:val="22"/>
        </w:rPr>
      </w:pPr>
      <w:r>
        <w:rPr>
          <w:rFonts w:ascii="Arial" w:hAnsi="Arial" w:cs="Arial"/>
          <w:i/>
          <w:sz w:val="22"/>
          <w:szCs w:val="22"/>
        </w:rPr>
        <w:t xml:space="preserve">Applications for the grant of the PBB shall only be submitted to the GCG </w:t>
      </w:r>
      <w:r>
        <w:rPr>
          <w:rFonts w:ascii="Arial" w:hAnsi="Arial" w:cs="Arial"/>
          <w:b/>
          <w:i/>
          <w:sz w:val="22"/>
          <w:szCs w:val="22"/>
        </w:rPr>
        <w:t>upon receipt of the GCG-validated scorecard</w:t>
      </w:r>
      <w:r>
        <w:rPr>
          <w:rFonts w:ascii="Arial" w:hAnsi="Arial" w:cs="Arial"/>
          <w:i/>
          <w:sz w:val="22"/>
          <w:szCs w:val="22"/>
        </w:rPr>
        <w:t xml:space="preserve"> and; provided it has obtained a weighted average score of at least 90% in its Performance Scorecard for the applicable year</w:t>
      </w:r>
      <w:r>
        <w:rPr>
          <w:rFonts w:ascii="Arial" w:hAnsi="Arial" w:cs="Arial"/>
          <w:sz w:val="22"/>
          <w:szCs w:val="22"/>
        </w:rPr>
        <w:t>. (Emphasis supplied).</w:t>
      </w:r>
    </w:p>
    <w:p>
      <w:pPr>
        <w:pStyle w:val="ListParagraph"/>
        <w:ind w:left="1701" w:right="389"/>
        <w:contextualSpacing/>
        <w:jc w:val="both"/>
        <w:rPr>
          <w:rFonts w:ascii="Arial" w:hAnsi="Arial" w:cs="Arial"/>
          <w:sz w:val="22"/>
          <w:szCs w:val="22"/>
        </w:rPr>
      </w:pPr>
    </w:p>
    <w:p>
      <w:pPr>
        <w:pStyle w:val="ListParagraph"/>
        <w:numPr>
          <w:ilvl w:val="1"/>
          <w:numId w:val="15"/>
        </w:numPr>
        <w:ind w:left="1418" w:hanging="709"/>
        <w:contextualSpacing/>
        <w:jc w:val="both"/>
        <w:rPr>
          <w:rFonts w:ascii="Arial" w:eastAsia="Calibri" w:hAnsi="Arial" w:cs="Arial"/>
          <w:sz w:val="22"/>
          <w:szCs w:val="22"/>
        </w:rPr>
      </w:pPr>
      <w:r>
        <w:rPr>
          <w:rFonts w:ascii="Arial" w:hAnsi="Arial" w:cs="Arial"/>
          <w:sz w:val="22"/>
          <w:szCs w:val="22"/>
        </w:rPr>
        <w:t xml:space="preserve">The GCG informed, in response to the Audit Team’s inquiry, that the validation results for the CY 2020 Performance Scorecard of PCSO was not yet released.  Hence, the accrual  of the PBB had no legal basis and not a valid obligation of the PCSO. As a result </w:t>
      </w:r>
      <w:r>
        <w:rPr>
          <w:rFonts w:ascii="Arial" w:hAnsi="Arial" w:cs="Arial"/>
          <w:sz w:val="22"/>
          <w:szCs w:val="22"/>
          <w:lang w:val="en-PH" w:eastAsia="ar-SA"/>
        </w:rPr>
        <w:t xml:space="preserve"> the FL-AP and Other Bonuses and Allowances accounts were overstated by P24.504 million as at December 31, 2020.</w:t>
      </w:r>
    </w:p>
    <w:p>
      <w:pPr>
        <w:pStyle w:val="ListParagraph"/>
        <w:ind w:left="732"/>
        <w:jc w:val="both"/>
        <w:rPr>
          <w:rFonts w:ascii="Arial" w:hAnsi="Arial" w:cs="Arial"/>
          <w:b/>
          <w:sz w:val="22"/>
          <w:szCs w:val="22"/>
        </w:rPr>
      </w:pPr>
    </w:p>
    <w:p>
      <w:pPr>
        <w:pStyle w:val="ListParagraph"/>
        <w:numPr>
          <w:ilvl w:val="1"/>
          <w:numId w:val="15"/>
        </w:numPr>
        <w:ind w:left="1418" w:hanging="709"/>
        <w:contextualSpacing/>
        <w:jc w:val="both"/>
        <w:rPr>
          <w:rFonts w:ascii="Arial" w:eastAsia="Calibri" w:hAnsi="Arial" w:cs="Arial"/>
          <w:b/>
          <w:sz w:val="22"/>
          <w:szCs w:val="22"/>
        </w:rPr>
      </w:pPr>
      <w:r>
        <w:rPr>
          <w:rFonts w:ascii="Arial" w:eastAsia="Calibri" w:hAnsi="Arial" w:cs="Arial"/>
          <w:b/>
          <w:sz w:val="22"/>
          <w:szCs w:val="22"/>
        </w:rPr>
        <w:t xml:space="preserve">We recommended that Management direct the Accounting and Budget Department (ABD) to </w:t>
      </w:r>
      <w:r>
        <w:rPr>
          <w:rFonts w:ascii="Arial" w:hAnsi="Arial" w:cs="Arial"/>
          <w:b/>
          <w:bCs/>
          <w:sz w:val="22"/>
          <w:szCs w:val="22"/>
        </w:rPr>
        <w:t>reverse the accrual made for the 2020 PBB totaling P24.504 million and, henceforth e</w:t>
      </w:r>
      <w:r>
        <w:rPr>
          <w:rFonts w:ascii="Arial" w:hAnsi="Arial" w:cs="Arial"/>
          <w:b/>
          <w:sz w:val="22"/>
          <w:szCs w:val="22"/>
        </w:rPr>
        <w:t xml:space="preserve">nsure that recorded liabilities are bonafide obligations of the PCSO and properly authorized in accordance with </w:t>
      </w:r>
      <w:r>
        <w:rPr>
          <w:rFonts w:ascii="Arial" w:hAnsi="Arial" w:cs="Arial"/>
          <w:b/>
          <w:bCs/>
          <w:sz w:val="22"/>
          <w:szCs w:val="22"/>
        </w:rPr>
        <w:t>Paragraph 4.46 of the CFGPFR.</w:t>
      </w:r>
      <w:r>
        <w:rPr>
          <w:rFonts w:ascii="Arial" w:hAnsi="Arial" w:cs="Arial"/>
          <w:b/>
          <w:sz w:val="22"/>
          <w:szCs w:val="22"/>
        </w:rPr>
        <w:t xml:space="preserve"> </w:t>
      </w:r>
    </w:p>
    <w:p>
      <w:pPr>
        <w:pStyle w:val="ListParagraph"/>
        <w:ind w:left="732"/>
        <w:jc w:val="both"/>
        <w:rPr>
          <w:rFonts w:ascii="Arial" w:hAnsi="Arial" w:cs="Arial"/>
          <w:b/>
          <w:sz w:val="22"/>
          <w:szCs w:val="22"/>
        </w:rPr>
      </w:pPr>
    </w:p>
    <w:p>
      <w:pPr>
        <w:pStyle w:val="ListParagraph"/>
        <w:numPr>
          <w:ilvl w:val="1"/>
          <w:numId w:val="15"/>
        </w:numPr>
        <w:ind w:left="1418" w:hanging="709"/>
        <w:contextualSpacing/>
        <w:jc w:val="both"/>
        <w:rPr>
          <w:rFonts w:ascii="Arial" w:eastAsia="Calibri" w:hAnsi="Arial" w:cs="Arial"/>
          <w:b/>
          <w:sz w:val="22"/>
          <w:szCs w:val="22"/>
        </w:rPr>
      </w:pPr>
      <w:r>
        <w:rPr>
          <w:rFonts w:ascii="Arial" w:hAnsi="Arial" w:cs="Arial"/>
          <w:sz w:val="22"/>
          <w:szCs w:val="22"/>
          <w:lang w:val="en-PH"/>
        </w:rPr>
        <w:t>Management informed that the 2020 PBB was accrued and not yet reversed pending the release by the GCG of the validation results for the CY 2020 Performance Scorecard of the PCSO.  The PBB grant is based on the favorable assessment of the PCSO’s performance for the year that passed, which the GCG concurred to have not yet released its assessment validation of the said performance. The accrual made for the aforesaid PBB was to appropriately allocate the corresponding funds.</w:t>
      </w:r>
    </w:p>
    <w:p>
      <w:pPr>
        <w:pStyle w:val="ListParagraph"/>
        <w:ind w:left="732"/>
        <w:jc w:val="both"/>
        <w:rPr>
          <w:rFonts w:ascii="Arial" w:hAnsi="Arial" w:cs="Arial"/>
          <w:b/>
          <w:sz w:val="22"/>
          <w:szCs w:val="22"/>
        </w:rPr>
      </w:pPr>
    </w:p>
    <w:p>
      <w:pPr>
        <w:pStyle w:val="ListParagraph"/>
        <w:numPr>
          <w:ilvl w:val="1"/>
          <w:numId w:val="15"/>
        </w:numPr>
        <w:ind w:left="1418" w:hanging="709"/>
        <w:contextualSpacing/>
        <w:jc w:val="both"/>
        <w:rPr>
          <w:rFonts w:ascii="Arial" w:hAnsi="Arial" w:cs="Arial"/>
          <w:b/>
          <w:sz w:val="22"/>
          <w:szCs w:val="22"/>
        </w:rPr>
      </w:pPr>
      <w:r>
        <w:rPr>
          <w:rFonts w:ascii="Arial" w:hAnsi="Arial" w:cs="Arial"/>
          <w:sz w:val="22"/>
          <w:szCs w:val="22"/>
        </w:rPr>
        <w:t>As a rejoinder, the Audit Team maintains its stand that the CY 2020 PBB is not  a valid obligation of PCSO as of December 31, 2020 considering that the results of the assessment has not been released yet by the GCG, hence, the amount of the benefit that would be granted to all officials and employees could not be reliably determined which is not in accordance with Paragraph 4.46 of CFGPFR.</w:t>
      </w:r>
    </w:p>
    <w:p>
      <w:pPr>
        <w:pStyle w:val="ListParagraph"/>
        <w:ind w:left="732"/>
        <w:jc w:val="both"/>
        <w:rPr>
          <w:rFonts w:ascii="Arial" w:hAnsi="Arial" w:cs="Arial"/>
          <w:b/>
          <w:sz w:val="22"/>
          <w:szCs w:val="22"/>
        </w:rPr>
      </w:pPr>
    </w:p>
    <w:p>
      <w:pPr>
        <w:pStyle w:val="ListParagraph"/>
        <w:numPr>
          <w:ilvl w:val="1"/>
          <w:numId w:val="15"/>
        </w:numPr>
        <w:ind w:left="1418" w:hanging="709"/>
        <w:contextualSpacing/>
        <w:jc w:val="both"/>
        <w:rPr>
          <w:rFonts w:ascii="Arial" w:hAnsi="Arial" w:cs="Arial"/>
          <w:sz w:val="22"/>
          <w:szCs w:val="22"/>
        </w:rPr>
      </w:pPr>
      <w:r>
        <w:rPr>
          <w:rFonts w:ascii="Arial" w:hAnsi="Arial" w:cs="Arial"/>
          <w:sz w:val="22"/>
          <w:szCs w:val="22"/>
          <w:lang w:val="en-PH" w:eastAsia="ar-SA"/>
        </w:rPr>
        <w:t>Aside from the overstatement noted above, further review disclosed that the f</w:t>
      </w:r>
      <w:r>
        <w:rPr>
          <w:rFonts w:ascii="Arial" w:hAnsi="Arial" w:cs="Arial"/>
          <w:bCs/>
          <w:sz w:val="22"/>
          <w:szCs w:val="22"/>
        </w:rPr>
        <w:t>aithful representation in the financial statements as of December 31, 2020 of the FL-AP account amounting to P8.488 billion could not be established due to the various deficiencies as discussed hereunder.</w:t>
      </w:r>
    </w:p>
    <w:p>
      <w:pPr>
        <w:pStyle w:val="ListParagraph"/>
        <w:ind w:left="732"/>
        <w:jc w:val="both"/>
        <w:rPr>
          <w:rFonts w:ascii="Arial" w:hAnsi="Arial" w:cs="Arial"/>
          <w:b/>
          <w:sz w:val="22"/>
          <w:szCs w:val="22"/>
        </w:rPr>
      </w:pPr>
    </w:p>
    <w:p>
      <w:pPr>
        <w:pStyle w:val="ListParagraph"/>
        <w:ind w:left="732"/>
        <w:jc w:val="both"/>
        <w:rPr>
          <w:rFonts w:ascii="Arial" w:hAnsi="Arial" w:cs="Arial"/>
          <w:b/>
          <w:sz w:val="22"/>
          <w:szCs w:val="22"/>
        </w:rPr>
      </w:pPr>
    </w:p>
    <w:p>
      <w:pPr>
        <w:pStyle w:val="ListParagraph"/>
        <w:numPr>
          <w:ilvl w:val="1"/>
          <w:numId w:val="15"/>
        </w:numPr>
        <w:ind w:left="1418" w:hanging="709"/>
        <w:contextualSpacing/>
        <w:jc w:val="both"/>
        <w:rPr>
          <w:rFonts w:ascii="Arial" w:hAnsi="Arial" w:cs="Arial"/>
          <w:bCs/>
          <w:sz w:val="22"/>
          <w:szCs w:val="22"/>
        </w:rPr>
      </w:pPr>
      <w:r>
        <w:rPr>
          <w:rFonts w:ascii="Arial" w:hAnsi="Arial" w:cs="Arial"/>
          <w:bCs/>
          <w:sz w:val="22"/>
          <w:szCs w:val="22"/>
        </w:rPr>
        <w:lastRenderedPageBreak/>
        <w:t>QC12 of CFGPFR</w:t>
      </w:r>
      <w:r>
        <w:rPr>
          <w:rFonts w:ascii="Arial" w:hAnsi="Arial" w:cs="Arial"/>
          <w:bCs/>
          <w:color w:val="00B0F0"/>
          <w:sz w:val="22"/>
          <w:szCs w:val="22"/>
        </w:rPr>
        <w:t xml:space="preserve"> </w:t>
      </w:r>
      <w:r>
        <w:rPr>
          <w:rFonts w:ascii="Arial" w:hAnsi="Arial" w:cs="Arial"/>
          <w:bCs/>
          <w:sz w:val="22"/>
          <w:szCs w:val="22"/>
        </w:rPr>
        <w:t>states that:</w:t>
      </w:r>
    </w:p>
    <w:p>
      <w:pPr>
        <w:pStyle w:val="ListParagraph"/>
        <w:ind w:left="1440"/>
        <w:contextualSpacing/>
        <w:jc w:val="both"/>
        <w:rPr>
          <w:rFonts w:ascii="Arial" w:hAnsi="Arial" w:cs="Arial"/>
          <w:bCs/>
          <w:sz w:val="22"/>
          <w:szCs w:val="22"/>
        </w:rPr>
      </w:pPr>
    </w:p>
    <w:p>
      <w:pPr>
        <w:pStyle w:val="ListParagraph"/>
        <w:ind w:left="1985" w:right="673"/>
        <w:contextualSpacing/>
        <w:jc w:val="both"/>
        <w:rPr>
          <w:rFonts w:ascii="Arial" w:hAnsi="Arial" w:cs="Arial"/>
          <w:i/>
          <w:iCs/>
          <w:sz w:val="22"/>
          <w:szCs w:val="22"/>
        </w:rPr>
      </w:pPr>
      <w:r>
        <w:rPr>
          <w:rFonts w:ascii="Arial" w:hAnsi="Arial" w:cs="Arial"/>
          <w:bCs/>
          <w:i/>
          <w:iCs/>
          <w:sz w:val="22"/>
          <w:szCs w:val="22"/>
        </w:rPr>
        <w:t xml:space="preserve">Xxx.  To be useful </w:t>
      </w:r>
      <w:r>
        <w:rPr>
          <w:rFonts w:ascii="Arial" w:hAnsi="Arial" w:cs="Arial"/>
          <w:i/>
          <w:iCs/>
          <w:sz w:val="22"/>
          <w:szCs w:val="22"/>
        </w:rPr>
        <w:t>financial information must not only represent relevant phenomena, but must also faithfully represent the phenomena that it purports to represent. To be a perfectly faithful representation, a depiction would have three characteristics. It would be complete, neutral, and free from error.</w:t>
      </w:r>
    </w:p>
    <w:p>
      <w:pPr>
        <w:pStyle w:val="ListParagraph"/>
        <w:ind w:left="1701" w:right="673"/>
        <w:contextualSpacing/>
        <w:jc w:val="both"/>
        <w:rPr>
          <w:rFonts w:ascii="Arial" w:hAnsi="Arial" w:cs="Arial"/>
          <w:i/>
          <w:iCs/>
          <w:sz w:val="22"/>
          <w:szCs w:val="22"/>
        </w:rPr>
      </w:pPr>
    </w:p>
    <w:p>
      <w:pPr>
        <w:pStyle w:val="ListParagraph"/>
        <w:numPr>
          <w:ilvl w:val="1"/>
          <w:numId w:val="15"/>
        </w:numPr>
        <w:ind w:left="1418" w:hanging="709"/>
        <w:contextualSpacing/>
        <w:jc w:val="both"/>
        <w:rPr>
          <w:rFonts w:ascii="Arial" w:hAnsi="Arial" w:cs="Arial"/>
          <w:bCs/>
          <w:sz w:val="22"/>
          <w:szCs w:val="22"/>
        </w:rPr>
      </w:pPr>
      <w:r>
        <w:rPr>
          <w:rFonts w:ascii="Arial" w:hAnsi="Arial" w:cs="Arial"/>
          <w:bCs/>
          <w:sz w:val="22"/>
          <w:szCs w:val="22"/>
        </w:rPr>
        <w:t>QC15 of CFGPFR further provides that:</w:t>
      </w:r>
    </w:p>
    <w:p>
      <w:pPr>
        <w:pStyle w:val="ListParagraph"/>
        <w:ind w:left="1440"/>
        <w:contextualSpacing/>
        <w:jc w:val="both"/>
        <w:rPr>
          <w:rFonts w:ascii="Arial" w:hAnsi="Arial" w:cs="Arial"/>
          <w:b/>
          <w:sz w:val="22"/>
          <w:szCs w:val="22"/>
        </w:rPr>
      </w:pPr>
    </w:p>
    <w:p>
      <w:pPr>
        <w:pStyle w:val="ListParagraph"/>
        <w:ind w:left="1985" w:right="691"/>
        <w:contextualSpacing/>
        <w:jc w:val="both"/>
        <w:rPr>
          <w:rFonts w:ascii="Arial" w:hAnsi="Arial" w:cs="Arial"/>
          <w:i/>
          <w:iCs/>
          <w:sz w:val="22"/>
          <w:szCs w:val="22"/>
        </w:rPr>
      </w:pPr>
      <w:r>
        <w:rPr>
          <w:rFonts w:ascii="Arial" w:hAnsi="Arial" w:cs="Arial"/>
          <w:i/>
          <w:iCs/>
          <w:sz w:val="22"/>
          <w:szCs w:val="22"/>
        </w:rPr>
        <w:t>Faithful representation does not mean accurate in all respects. Free from errors means there are no errors or omissions in the description of the phenomenon and the process used to produce the reported information has been selected and applied with no errors in the process.</w:t>
      </w:r>
    </w:p>
    <w:p>
      <w:pPr>
        <w:pStyle w:val="ListParagraph"/>
        <w:ind w:left="1701" w:right="389"/>
        <w:contextualSpacing/>
        <w:jc w:val="both"/>
        <w:rPr>
          <w:rFonts w:ascii="Arial" w:hAnsi="Arial" w:cs="Arial"/>
          <w:i/>
          <w:iCs/>
          <w:sz w:val="22"/>
          <w:szCs w:val="22"/>
        </w:rPr>
      </w:pPr>
    </w:p>
    <w:p>
      <w:pPr>
        <w:pStyle w:val="ListParagraph"/>
        <w:numPr>
          <w:ilvl w:val="1"/>
          <w:numId w:val="15"/>
        </w:numPr>
        <w:ind w:left="1418" w:hanging="709"/>
        <w:contextualSpacing/>
        <w:jc w:val="both"/>
        <w:rPr>
          <w:rFonts w:ascii="Arial" w:hAnsi="Arial" w:cs="Arial"/>
          <w:bCs/>
          <w:sz w:val="22"/>
          <w:szCs w:val="22"/>
        </w:rPr>
      </w:pPr>
      <w:r>
        <w:rPr>
          <w:rFonts w:ascii="Arial" w:hAnsi="Arial" w:cs="Arial"/>
          <w:sz w:val="22"/>
          <w:szCs w:val="22"/>
        </w:rPr>
        <w:t>Moreover, Paragraph 15 of PAS 1 provides that:</w:t>
      </w:r>
    </w:p>
    <w:p>
      <w:pPr>
        <w:pStyle w:val="ListParagraph"/>
        <w:ind w:left="1440"/>
        <w:contextualSpacing/>
        <w:jc w:val="both"/>
        <w:rPr>
          <w:rFonts w:ascii="Arial" w:hAnsi="Arial" w:cs="Arial"/>
          <w:bCs/>
          <w:sz w:val="22"/>
          <w:szCs w:val="22"/>
        </w:rPr>
      </w:pPr>
    </w:p>
    <w:p>
      <w:pPr>
        <w:pStyle w:val="ListParagraph"/>
        <w:ind w:left="1985" w:right="691"/>
        <w:contextualSpacing/>
        <w:jc w:val="both"/>
        <w:rPr>
          <w:rFonts w:ascii="Arial" w:hAnsi="Arial" w:cs="Arial"/>
          <w:i/>
          <w:sz w:val="22"/>
          <w:szCs w:val="22"/>
        </w:rPr>
      </w:pPr>
      <w:r>
        <w:rPr>
          <w:rFonts w:ascii="Arial" w:hAnsi="Arial" w:cs="Arial"/>
          <w:i/>
          <w:sz w:val="22"/>
          <w:szCs w:val="22"/>
        </w:rPr>
        <w:t>Financial statements shall present fairly the financial position, financial performance and cash flows of an entity. Fair presentation requires faithful representation of the effects of transactions, other events and conditions in accordance with the definitions and recognition criteria for assets, liabilities, income and expenses set out in the Framework. The application of IFRSs, with additional disclosures when necessary, is presumed to result in financial statements that achieve a fair presentation.</w:t>
      </w:r>
    </w:p>
    <w:p>
      <w:pPr>
        <w:spacing w:after="0" w:line="240" w:lineRule="auto"/>
        <w:contextualSpacing/>
        <w:jc w:val="both"/>
        <w:rPr>
          <w:rFonts w:ascii="Arial" w:hAnsi="Arial" w:cs="Arial"/>
          <w:bCs/>
        </w:rPr>
      </w:pPr>
    </w:p>
    <w:p>
      <w:pPr>
        <w:pStyle w:val="ListParagraph"/>
        <w:ind w:left="709" w:right="2941"/>
        <w:contextualSpacing/>
        <w:jc w:val="both"/>
        <w:rPr>
          <w:rFonts w:ascii="Arial" w:hAnsi="Arial" w:cs="Arial"/>
          <w:bCs/>
          <w:i/>
          <w:sz w:val="22"/>
          <w:szCs w:val="22"/>
        </w:rPr>
      </w:pPr>
      <w:r>
        <w:rPr>
          <w:rFonts w:ascii="Arial" w:hAnsi="Arial" w:cs="Arial"/>
          <w:bCs/>
          <w:i/>
          <w:sz w:val="22"/>
          <w:szCs w:val="22"/>
        </w:rPr>
        <w:t xml:space="preserve">A </w:t>
      </w:r>
      <w:r>
        <w:rPr>
          <w:rFonts w:ascii="Arial" w:hAnsi="Arial" w:cs="Arial"/>
          <w:i/>
          <w:sz w:val="22"/>
          <w:szCs w:val="22"/>
        </w:rPr>
        <w:t>discrepancy of P133.991 million existed between the balances of the VP-CF account per GL of P1,114.104 million and per supporting schedules of P980.113 million</w:t>
      </w:r>
    </w:p>
    <w:p>
      <w:pPr>
        <w:pStyle w:val="ListParagraph"/>
        <w:ind w:left="709" w:right="2941"/>
        <w:contextualSpacing/>
        <w:jc w:val="both"/>
        <w:rPr>
          <w:rFonts w:ascii="Arial" w:eastAsia="Calibri" w:hAnsi="Arial" w:cs="Arial"/>
          <w:bCs/>
          <w:sz w:val="22"/>
          <w:szCs w:val="22"/>
        </w:rPr>
      </w:pPr>
    </w:p>
    <w:p>
      <w:pPr>
        <w:pStyle w:val="ListParagraph"/>
        <w:numPr>
          <w:ilvl w:val="1"/>
          <w:numId w:val="15"/>
        </w:numPr>
        <w:ind w:left="1418" w:hanging="709"/>
        <w:contextualSpacing/>
        <w:jc w:val="both"/>
        <w:rPr>
          <w:rFonts w:ascii="Arial" w:hAnsi="Arial" w:cs="Arial"/>
          <w:sz w:val="22"/>
          <w:szCs w:val="22"/>
        </w:rPr>
      </w:pPr>
      <w:r>
        <w:rPr>
          <w:rFonts w:ascii="Arial" w:hAnsi="Arial" w:cs="Arial"/>
          <w:sz w:val="22"/>
          <w:szCs w:val="22"/>
        </w:rPr>
        <w:t>Section 111 of PD No. 1445 provides:</w:t>
      </w:r>
    </w:p>
    <w:p>
      <w:pPr>
        <w:pStyle w:val="ListParagraph"/>
        <w:ind w:left="1440"/>
        <w:contextualSpacing/>
        <w:jc w:val="both"/>
        <w:rPr>
          <w:rFonts w:ascii="Arial" w:hAnsi="Arial" w:cs="Arial"/>
          <w:sz w:val="22"/>
          <w:szCs w:val="22"/>
        </w:rPr>
      </w:pPr>
    </w:p>
    <w:p>
      <w:pPr>
        <w:tabs>
          <w:tab w:val="left" w:pos="2410"/>
        </w:tabs>
        <w:spacing w:after="0" w:line="240" w:lineRule="auto"/>
        <w:ind w:left="1985" w:right="691"/>
        <w:jc w:val="both"/>
        <w:rPr>
          <w:rFonts w:ascii="Arial" w:hAnsi="Arial" w:cs="Arial"/>
        </w:rPr>
      </w:pPr>
      <w:r>
        <w:rPr>
          <w:rFonts w:ascii="Arial" w:hAnsi="Arial" w:cs="Arial"/>
          <w:i/>
        </w:rPr>
        <w:t>(1) The accounts of an agency shall be kept in such detail as is necessary to meet the need of the agency and at the same time be adequate to furnish the information needed by fiscal or control agencies of the government.</w:t>
      </w:r>
    </w:p>
    <w:p>
      <w:pPr>
        <w:tabs>
          <w:tab w:val="left" w:pos="2410"/>
        </w:tabs>
        <w:spacing w:after="0" w:line="240" w:lineRule="auto"/>
        <w:ind w:left="1985" w:right="360"/>
        <w:rPr>
          <w:rFonts w:ascii="Arial" w:hAnsi="Arial" w:cs="Arial"/>
        </w:rPr>
      </w:pPr>
      <w:r>
        <w:rPr>
          <w:rFonts w:ascii="Arial" w:hAnsi="Arial" w:cs="Arial"/>
        </w:rPr>
        <w:t xml:space="preserve">  </w:t>
      </w:r>
    </w:p>
    <w:p>
      <w:pPr>
        <w:tabs>
          <w:tab w:val="left" w:pos="2410"/>
        </w:tabs>
        <w:spacing w:after="0" w:line="240" w:lineRule="auto"/>
        <w:ind w:left="1985" w:right="691"/>
        <w:jc w:val="both"/>
        <w:rPr>
          <w:rFonts w:ascii="Arial" w:hAnsi="Arial" w:cs="Arial"/>
          <w:i/>
        </w:rPr>
      </w:pPr>
      <w:r>
        <w:rPr>
          <w:rFonts w:ascii="Arial" w:hAnsi="Arial" w:cs="Arial"/>
          <w:i/>
        </w:rPr>
        <w:t>(2) The highest standards of honesty, objectivity and consistency shall be observed in the keeping of accounts to safeguard against inaccurate or misleading information.</w:t>
      </w:r>
    </w:p>
    <w:p>
      <w:pPr>
        <w:spacing w:after="0" w:line="240" w:lineRule="auto"/>
        <w:ind w:right="360"/>
        <w:rPr>
          <w:rFonts w:ascii="Arial" w:hAnsi="Arial" w:cs="Arial"/>
        </w:rPr>
      </w:pPr>
    </w:p>
    <w:p>
      <w:pPr>
        <w:pStyle w:val="ListParagraph"/>
        <w:numPr>
          <w:ilvl w:val="1"/>
          <w:numId w:val="15"/>
        </w:numPr>
        <w:ind w:left="1418" w:hanging="709"/>
        <w:contextualSpacing/>
        <w:jc w:val="both"/>
        <w:rPr>
          <w:rFonts w:ascii="Arial" w:hAnsi="Arial" w:cs="Arial"/>
          <w:sz w:val="22"/>
          <w:szCs w:val="22"/>
        </w:rPr>
      </w:pPr>
      <w:r>
        <w:rPr>
          <w:rFonts w:ascii="Arial" w:hAnsi="Arial" w:cs="Arial"/>
          <w:sz w:val="22"/>
          <w:szCs w:val="22"/>
        </w:rPr>
        <w:t xml:space="preserve">It was noted that the GL balance of the VP-CF account amounting P1,114.104 million as of December 31, 2020, representing </w:t>
      </w:r>
      <w:r>
        <w:rPr>
          <w:rFonts w:ascii="Arial" w:hAnsi="Arial" w:cs="Arial"/>
          <w:bCs/>
          <w:sz w:val="22"/>
          <w:szCs w:val="22"/>
        </w:rPr>
        <w:t xml:space="preserve">various unpaid processed vouchers payable to hospitals and other institutions/agencies as payment for financial assistance under the Medical Access Program, mandatory contributions and other health and welfare programs of the PCSO differed with the balance indicated in the Schedule to support the </w:t>
      </w:r>
      <w:r>
        <w:rPr>
          <w:rFonts w:ascii="Arial" w:hAnsi="Arial" w:cs="Arial"/>
          <w:bCs/>
          <w:sz w:val="22"/>
          <w:szCs w:val="22"/>
        </w:rPr>
        <w:lastRenderedPageBreak/>
        <w:t>said account amounting to P980.113 million, or a discrepancy of P133.991 million, as summarized in Table 1.</w:t>
      </w:r>
    </w:p>
    <w:p>
      <w:pPr>
        <w:pStyle w:val="ListParagraph"/>
        <w:ind w:left="1418"/>
        <w:contextualSpacing/>
        <w:jc w:val="both"/>
        <w:rPr>
          <w:rFonts w:ascii="Arial" w:hAnsi="Arial" w:cs="Arial"/>
          <w:sz w:val="22"/>
          <w:szCs w:val="22"/>
        </w:rPr>
      </w:pPr>
    </w:p>
    <w:p>
      <w:pPr>
        <w:pStyle w:val="ListParagraph"/>
        <w:ind w:left="1440"/>
        <w:contextualSpacing/>
        <w:jc w:val="center"/>
        <w:rPr>
          <w:rFonts w:ascii="Arial" w:hAnsi="Arial" w:cs="Arial"/>
          <w:b/>
          <w:bCs/>
          <w:sz w:val="20"/>
          <w:szCs w:val="20"/>
        </w:rPr>
      </w:pPr>
      <w:r>
        <w:rPr>
          <w:rFonts w:ascii="Arial" w:hAnsi="Arial" w:cs="Arial"/>
          <w:b/>
          <w:bCs/>
          <w:sz w:val="20"/>
          <w:szCs w:val="20"/>
        </w:rPr>
        <w:t xml:space="preserve">Table 1- Discrepancy between GL Balance and Schedule of </w:t>
      </w:r>
    </w:p>
    <w:p>
      <w:pPr>
        <w:pStyle w:val="ListParagraph"/>
        <w:ind w:left="1440"/>
        <w:contextualSpacing/>
        <w:jc w:val="center"/>
        <w:rPr>
          <w:rFonts w:ascii="Arial" w:hAnsi="Arial" w:cs="Arial"/>
          <w:b/>
          <w:bCs/>
          <w:sz w:val="20"/>
          <w:szCs w:val="20"/>
        </w:rPr>
      </w:pPr>
      <w:r>
        <w:rPr>
          <w:rFonts w:ascii="Arial" w:hAnsi="Arial" w:cs="Arial"/>
          <w:b/>
          <w:bCs/>
          <w:sz w:val="20"/>
          <w:szCs w:val="20"/>
        </w:rPr>
        <w:t>theVouchers Payable Account</w:t>
      </w:r>
    </w:p>
    <w:p>
      <w:pPr>
        <w:pStyle w:val="ListParagraph"/>
        <w:ind w:left="1440"/>
        <w:contextualSpacing/>
        <w:jc w:val="center"/>
        <w:rPr>
          <w:rFonts w:ascii="Arial" w:hAnsi="Arial" w:cs="Arial"/>
          <w:b/>
          <w:sz w:val="20"/>
          <w:szCs w:val="20"/>
        </w:rPr>
      </w:pPr>
    </w:p>
    <w:p>
      <w:pPr>
        <w:pStyle w:val="ListParagraph"/>
        <w:ind w:left="1440"/>
        <w:contextualSpacing/>
        <w:jc w:val="both"/>
        <w:rPr>
          <w:rFonts w:ascii="Arial" w:hAnsi="Arial" w:cs="Arial"/>
          <w:bCs/>
          <w:sz w:val="10"/>
          <w:szCs w:val="10"/>
        </w:rPr>
      </w:pPr>
    </w:p>
    <w:tbl>
      <w:tblPr>
        <w:tblStyle w:val="TableGrid"/>
        <w:tblW w:w="792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1890"/>
        <w:gridCol w:w="1890"/>
        <w:gridCol w:w="1980"/>
      </w:tblGrid>
      <w:tr>
        <w:tc>
          <w:tcPr>
            <w:tcW w:w="2160" w:type="dxa"/>
            <w:tcBorders>
              <w:top w:val="single" w:sz="4" w:space="0" w:color="auto"/>
              <w:left w:val="nil"/>
              <w:bottom w:val="single" w:sz="4" w:space="0" w:color="auto"/>
              <w:right w:val="nil"/>
            </w:tcBorders>
            <w:vAlign w:val="bottom"/>
          </w:tcPr>
          <w:p>
            <w:pPr>
              <w:ind w:hanging="110"/>
              <w:jc w:val="both"/>
              <w:rPr>
                <w:rFonts w:ascii="Arial Narrow" w:hAnsi="Arial Narrow" w:cs="Arial"/>
                <w:b/>
                <w:sz w:val="20"/>
                <w:szCs w:val="20"/>
              </w:rPr>
            </w:pPr>
            <w:r>
              <w:rPr>
                <w:rFonts w:ascii="Arial Narrow" w:hAnsi="Arial Narrow" w:cs="Arial"/>
                <w:b/>
                <w:sz w:val="20"/>
                <w:szCs w:val="20"/>
              </w:rPr>
              <w:t>Account Classification</w:t>
            </w:r>
          </w:p>
        </w:tc>
        <w:tc>
          <w:tcPr>
            <w:tcW w:w="1890" w:type="dxa"/>
            <w:tcBorders>
              <w:top w:val="single" w:sz="4" w:space="0" w:color="auto"/>
              <w:left w:val="nil"/>
              <w:bottom w:val="single" w:sz="4" w:space="0" w:color="auto"/>
              <w:right w:val="nil"/>
            </w:tcBorders>
            <w:vAlign w:val="bottom"/>
          </w:tcPr>
          <w:p>
            <w:pPr>
              <w:ind w:right="-110"/>
              <w:jc w:val="right"/>
              <w:rPr>
                <w:rFonts w:ascii="Arial Narrow" w:hAnsi="Arial Narrow" w:cs="Arial"/>
                <w:b/>
                <w:sz w:val="20"/>
                <w:szCs w:val="20"/>
              </w:rPr>
            </w:pPr>
          </w:p>
          <w:p>
            <w:pPr>
              <w:ind w:right="-110"/>
              <w:jc w:val="right"/>
              <w:rPr>
                <w:rFonts w:ascii="Arial Narrow" w:hAnsi="Arial Narrow" w:cs="Arial"/>
                <w:b/>
                <w:sz w:val="20"/>
                <w:szCs w:val="20"/>
              </w:rPr>
            </w:pPr>
            <w:r>
              <w:rPr>
                <w:rFonts w:ascii="Arial Narrow" w:hAnsi="Arial Narrow" w:cs="Arial"/>
                <w:b/>
                <w:sz w:val="20"/>
                <w:szCs w:val="20"/>
              </w:rPr>
              <w:t>GL Balance</w:t>
            </w:r>
          </w:p>
        </w:tc>
        <w:tc>
          <w:tcPr>
            <w:tcW w:w="1890" w:type="dxa"/>
            <w:tcBorders>
              <w:top w:val="single" w:sz="4" w:space="0" w:color="auto"/>
              <w:left w:val="nil"/>
              <w:bottom w:val="single" w:sz="4" w:space="0" w:color="auto"/>
              <w:right w:val="nil"/>
            </w:tcBorders>
            <w:vAlign w:val="bottom"/>
            <w:hideMark/>
          </w:tcPr>
          <w:p>
            <w:pPr>
              <w:ind w:right="-110"/>
              <w:jc w:val="right"/>
              <w:rPr>
                <w:rFonts w:ascii="Arial Narrow" w:hAnsi="Arial Narrow" w:cs="Arial"/>
                <w:b/>
                <w:sz w:val="20"/>
                <w:szCs w:val="20"/>
              </w:rPr>
            </w:pPr>
            <w:r>
              <w:rPr>
                <w:rFonts w:ascii="Arial Narrow" w:hAnsi="Arial Narrow" w:cs="Arial"/>
                <w:b/>
                <w:sz w:val="20"/>
                <w:szCs w:val="20"/>
              </w:rPr>
              <w:t xml:space="preserve"> Balance</w:t>
            </w:r>
          </w:p>
          <w:p>
            <w:pPr>
              <w:ind w:right="-110"/>
              <w:jc w:val="right"/>
              <w:rPr>
                <w:rFonts w:ascii="Arial Narrow" w:hAnsi="Arial Narrow" w:cs="Arial"/>
                <w:b/>
                <w:sz w:val="20"/>
                <w:szCs w:val="20"/>
              </w:rPr>
            </w:pPr>
            <w:r>
              <w:rPr>
                <w:rFonts w:ascii="Arial Narrow" w:hAnsi="Arial Narrow" w:cs="Arial"/>
                <w:b/>
                <w:sz w:val="20"/>
                <w:szCs w:val="20"/>
              </w:rPr>
              <w:t>Per Schedule</w:t>
            </w:r>
          </w:p>
        </w:tc>
        <w:tc>
          <w:tcPr>
            <w:tcW w:w="1980" w:type="dxa"/>
            <w:tcBorders>
              <w:top w:val="single" w:sz="4" w:space="0" w:color="auto"/>
              <w:left w:val="nil"/>
              <w:bottom w:val="single" w:sz="4" w:space="0" w:color="auto"/>
              <w:right w:val="nil"/>
            </w:tcBorders>
            <w:vAlign w:val="bottom"/>
          </w:tcPr>
          <w:p>
            <w:pPr>
              <w:ind w:right="-110"/>
              <w:jc w:val="right"/>
              <w:rPr>
                <w:rFonts w:ascii="Arial Narrow" w:hAnsi="Arial Narrow" w:cs="Arial"/>
                <w:b/>
                <w:sz w:val="20"/>
                <w:szCs w:val="20"/>
              </w:rPr>
            </w:pPr>
          </w:p>
          <w:p>
            <w:pPr>
              <w:ind w:right="-110"/>
              <w:jc w:val="right"/>
              <w:rPr>
                <w:rFonts w:ascii="Arial Narrow" w:hAnsi="Arial Narrow" w:cs="Arial"/>
                <w:b/>
                <w:sz w:val="20"/>
                <w:szCs w:val="20"/>
              </w:rPr>
            </w:pPr>
            <w:r>
              <w:rPr>
                <w:rFonts w:ascii="Arial Narrow" w:hAnsi="Arial Narrow" w:cs="Arial"/>
                <w:b/>
                <w:sz w:val="20"/>
                <w:szCs w:val="20"/>
              </w:rPr>
              <w:t>Discrepancy</w:t>
            </w:r>
          </w:p>
        </w:tc>
      </w:tr>
      <w:tr>
        <w:tc>
          <w:tcPr>
            <w:tcW w:w="2160" w:type="dxa"/>
            <w:tcBorders>
              <w:top w:val="single" w:sz="4" w:space="0" w:color="auto"/>
              <w:left w:val="nil"/>
              <w:bottom w:val="nil"/>
              <w:right w:val="nil"/>
            </w:tcBorders>
            <w:hideMark/>
          </w:tcPr>
          <w:p>
            <w:pPr>
              <w:ind w:hanging="110"/>
              <w:rPr>
                <w:rFonts w:ascii="Arial Narrow" w:hAnsi="Arial Narrow" w:cs="Arial"/>
                <w:sz w:val="20"/>
                <w:szCs w:val="20"/>
              </w:rPr>
            </w:pPr>
            <w:r>
              <w:rPr>
                <w:rFonts w:ascii="Arial Narrow" w:hAnsi="Arial Narrow" w:cs="Arial"/>
                <w:sz w:val="20"/>
                <w:szCs w:val="20"/>
              </w:rPr>
              <w:t xml:space="preserve">VP- CF- Branch </w:t>
            </w:r>
          </w:p>
        </w:tc>
        <w:tc>
          <w:tcPr>
            <w:tcW w:w="1890" w:type="dxa"/>
            <w:tcBorders>
              <w:top w:val="single" w:sz="4" w:space="0" w:color="auto"/>
              <w:left w:val="nil"/>
              <w:bottom w:val="nil"/>
              <w:right w:val="nil"/>
            </w:tcBorders>
            <w:hideMark/>
          </w:tcPr>
          <w:p>
            <w:pPr>
              <w:ind w:right="-110"/>
              <w:jc w:val="right"/>
              <w:rPr>
                <w:rFonts w:ascii="Arial Narrow" w:hAnsi="Arial Narrow" w:cs="Arial"/>
                <w:sz w:val="20"/>
                <w:szCs w:val="20"/>
              </w:rPr>
            </w:pPr>
            <w:r>
              <w:rPr>
                <w:rFonts w:ascii="Arial Narrow" w:hAnsi="Arial Narrow" w:cs="Arial"/>
                <w:sz w:val="20"/>
                <w:szCs w:val="20"/>
              </w:rPr>
              <w:t>P   791,252,063.83</w:t>
            </w:r>
          </w:p>
        </w:tc>
        <w:tc>
          <w:tcPr>
            <w:tcW w:w="1890" w:type="dxa"/>
            <w:tcBorders>
              <w:top w:val="single" w:sz="4" w:space="0" w:color="auto"/>
              <w:left w:val="nil"/>
              <w:bottom w:val="nil"/>
              <w:right w:val="nil"/>
            </w:tcBorders>
            <w:hideMark/>
          </w:tcPr>
          <w:p>
            <w:pPr>
              <w:ind w:right="-110"/>
              <w:jc w:val="right"/>
              <w:rPr>
                <w:rFonts w:ascii="Arial Narrow" w:hAnsi="Arial Narrow" w:cs="Arial"/>
                <w:sz w:val="20"/>
                <w:szCs w:val="20"/>
              </w:rPr>
            </w:pPr>
            <w:r>
              <w:rPr>
                <w:rFonts w:ascii="Arial Narrow" w:hAnsi="Arial Narrow" w:cs="Arial"/>
                <w:sz w:val="20"/>
                <w:szCs w:val="20"/>
              </w:rPr>
              <w:t>P 655,494,325.08</w:t>
            </w:r>
          </w:p>
        </w:tc>
        <w:tc>
          <w:tcPr>
            <w:tcW w:w="1980" w:type="dxa"/>
            <w:tcBorders>
              <w:top w:val="single" w:sz="4" w:space="0" w:color="auto"/>
              <w:left w:val="nil"/>
              <w:bottom w:val="nil"/>
              <w:right w:val="nil"/>
            </w:tcBorders>
            <w:hideMark/>
          </w:tcPr>
          <w:p>
            <w:pPr>
              <w:ind w:right="-110"/>
              <w:jc w:val="right"/>
              <w:rPr>
                <w:rFonts w:ascii="Arial Narrow" w:hAnsi="Arial Narrow" w:cs="Arial"/>
                <w:sz w:val="20"/>
                <w:szCs w:val="20"/>
              </w:rPr>
            </w:pPr>
            <w:r>
              <w:rPr>
                <w:rFonts w:ascii="Arial Narrow" w:hAnsi="Arial Narrow" w:cs="Arial"/>
                <w:sz w:val="20"/>
                <w:szCs w:val="20"/>
              </w:rPr>
              <w:t>P135,757,738.75</w:t>
            </w:r>
          </w:p>
        </w:tc>
      </w:tr>
      <w:tr>
        <w:tc>
          <w:tcPr>
            <w:tcW w:w="2160" w:type="dxa"/>
            <w:tcBorders>
              <w:top w:val="nil"/>
              <w:left w:val="nil"/>
              <w:bottom w:val="single" w:sz="4" w:space="0" w:color="auto"/>
              <w:right w:val="nil"/>
            </w:tcBorders>
          </w:tcPr>
          <w:p>
            <w:pPr>
              <w:ind w:hanging="110"/>
              <w:rPr>
                <w:rFonts w:ascii="Arial Narrow" w:hAnsi="Arial Narrow" w:cs="Arial"/>
                <w:sz w:val="20"/>
                <w:szCs w:val="20"/>
              </w:rPr>
            </w:pPr>
            <w:r>
              <w:rPr>
                <w:rFonts w:ascii="Arial Narrow" w:hAnsi="Arial Narrow" w:cs="Arial"/>
                <w:sz w:val="20"/>
                <w:szCs w:val="20"/>
              </w:rPr>
              <w:t>VP- CF- Head Office</w:t>
            </w:r>
          </w:p>
        </w:tc>
        <w:tc>
          <w:tcPr>
            <w:tcW w:w="1890" w:type="dxa"/>
            <w:tcBorders>
              <w:top w:val="nil"/>
              <w:left w:val="nil"/>
              <w:bottom w:val="single" w:sz="4" w:space="0" w:color="auto"/>
              <w:right w:val="nil"/>
            </w:tcBorders>
          </w:tcPr>
          <w:p>
            <w:pPr>
              <w:ind w:right="-110"/>
              <w:jc w:val="right"/>
              <w:rPr>
                <w:rFonts w:ascii="Arial Narrow" w:hAnsi="Arial Narrow" w:cs="Arial"/>
                <w:sz w:val="20"/>
                <w:szCs w:val="20"/>
              </w:rPr>
            </w:pPr>
            <w:r>
              <w:rPr>
                <w:rFonts w:ascii="Arial Narrow" w:hAnsi="Arial Narrow" w:cs="Arial"/>
                <w:sz w:val="20"/>
                <w:szCs w:val="20"/>
              </w:rPr>
              <w:t>322,852,408.18</w:t>
            </w:r>
          </w:p>
        </w:tc>
        <w:tc>
          <w:tcPr>
            <w:tcW w:w="1890" w:type="dxa"/>
            <w:tcBorders>
              <w:top w:val="nil"/>
              <w:left w:val="nil"/>
              <w:bottom w:val="single" w:sz="4" w:space="0" w:color="auto"/>
              <w:right w:val="nil"/>
            </w:tcBorders>
          </w:tcPr>
          <w:p>
            <w:pPr>
              <w:ind w:right="-110"/>
              <w:jc w:val="right"/>
              <w:rPr>
                <w:rFonts w:ascii="Arial Narrow" w:hAnsi="Arial Narrow" w:cs="Arial"/>
                <w:sz w:val="20"/>
                <w:szCs w:val="20"/>
              </w:rPr>
            </w:pPr>
            <w:r>
              <w:rPr>
                <w:rFonts w:ascii="Arial Narrow" w:hAnsi="Arial Narrow" w:cs="Arial"/>
                <w:sz w:val="20"/>
                <w:szCs w:val="20"/>
              </w:rPr>
              <w:t>324,619,188.46</w:t>
            </w:r>
          </w:p>
        </w:tc>
        <w:tc>
          <w:tcPr>
            <w:tcW w:w="1980" w:type="dxa"/>
            <w:tcBorders>
              <w:top w:val="nil"/>
              <w:left w:val="nil"/>
              <w:bottom w:val="single" w:sz="4" w:space="0" w:color="auto"/>
              <w:right w:val="nil"/>
            </w:tcBorders>
          </w:tcPr>
          <w:p>
            <w:pPr>
              <w:ind w:right="-110"/>
              <w:jc w:val="right"/>
              <w:rPr>
                <w:rFonts w:ascii="Arial Narrow" w:hAnsi="Arial Narrow" w:cs="Arial"/>
                <w:sz w:val="20"/>
                <w:szCs w:val="20"/>
              </w:rPr>
            </w:pPr>
            <w:r>
              <w:rPr>
                <w:rFonts w:ascii="Arial Narrow" w:hAnsi="Arial Narrow" w:cs="Arial"/>
                <w:sz w:val="20"/>
                <w:szCs w:val="20"/>
              </w:rPr>
              <w:t>(1,766,780.28)</w:t>
            </w:r>
          </w:p>
        </w:tc>
      </w:tr>
      <w:tr>
        <w:tc>
          <w:tcPr>
            <w:tcW w:w="2160" w:type="dxa"/>
            <w:tcBorders>
              <w:top w:val="single" w:sz="4" w:space="0" w:color="auto"/>
              <w:left w:val="nil"/>
              <w:bottom w:val="double" w:sz="4" w:space="0" w:color="auto"/>
              <w:right w:val="nil"/>
            </w:tcBorders>
            <w:hideMark/>
          </w:tcPr>
          <w:p>
            <w:pPr>
              <w:ind w:hanging="110"/>
              <w:rPr>
                <w:rFonts w:ascii="Arial Narrow" w:hAnsi="Arial Narrow" w:cs="Arial"/>
                <w:b/>
                <w:sz w:val="20"/>
                <w:szCs w:val="20"/>
              </w:rPr>
            </w:pPr>
            <w:r>
              <w:rPr>
                <w:rFonts w:ascii="Arial Narrow" w:hAnsi="Arial Narrow" w:cs="Arial"/>
                <w:b/>
                <w:sz w:val="20"/>
                <w:szCs w:val="20"/>
              </w:rPr>
              <w:t xml:space="preserve">                         </w:t>
            </w:r>
          </w:p>
        </w:tc>
        <w:tc>
          <w:tcPr>
            <w:tcW w:w="1890" w:type="dxa"/>
            <w:tcBorders>
              <w:top w:val="single" w:sz="4" w:space="0" w:color="auto"/>
              <w:left w:val="nil"/>
              <w:bottom w:val="double" w:sz="4" w:space="0" w:color="auto"/>
              <w:right w:val="nil"/>
            </w:tcBorders>
            <w:hideMark/>
          </w:tcPr>
          <w:p>
            <w:pPr>
              <w:ind w:right="-110"/>
              <w:jc w:val="right"/>
              <w:rPr>
                <w:rFonts w:ascii="Arial Narrow" w:hAnsi="Arial Narrow" w:cs="Arial"/>
                <w:b/>
                <w:sz w:val="20"/>
                <w:szCs w:val="20"/>
              </w:rPr>
            </w:pPr>
            <w:r>
              <w:rPr>
                <w:rFonts w:ascii="Arial Narrow" w:hAnsi="Arial Narrow" w:cs="Arial"/>
                <w:b/>
                <w:sz w:val="20"/>
                <w:szCs w:val="20"/>
              </w:rPr>
              <w:t>P1,114,104,472.01</w:t>
            </w:r>
          </w:p>
        </w:tc>
        <w:tc>
          <w:tcPr>
            <w:tcW w:w="1890" w:type="dxa"/>
            <w:tcBorders>
              <w:top w:val="single" w:sz="4" w:space="0" w:color="auto"/>
              <w:left w:val="nil"/>
              <w:bottom w:val="double" w:sz="4" w:space="0" w:color="auto"/>
              <w:right w:val="nil"/>
            </w:tcBorders>
            <w:hideMark/>
          </w:tcPr>
          <w:p>
            <w:pPr>
              <w:ind w:right="-110"/>
              <w:jc w:val="right"/>
              <w:rPr>
                <w:rFonts w:ascii="Arial Narrow" w:hAnsi="Arial Narrow" w:cs="Arial"/>
                <w:b/>
                <w:sz w:val="20"/>
                <w:szCs w:val="20"/>
              </w:rPr>
            </w:pPr>
            <w:r>
              <w:rPr>
                <w:rFonts w:ascii="Arial Narrow" w:hAnsi="Arial Narrow" w:cs="Arial"/>
                <w:b/>
                <w:sz w:val="20"/>
                <w:szCs w:val="20"/>
              </w:rPr>
              <w:t>P980,113,513.54</w:t>
            </w:r>
          </w:p>
        </w:tc>
        <w:tc>
          <w:tcPr>
            <w:tcW w:w="1980" w:type="dxa"/>
            <w:tcBorders>
              <w:top w:val="single" w:sz="4" w:space="0" w:color="auto"/>
              <w:left w:val="nil"/>
              <w:bottom w:val="double" w:sz="4" w:space="0" w:color="auto"/>
              <w:right w:val="nil"/>
            </w:tcBorders>
            <w:hideMark/>
          </w:tcPr>
          <w:p>
            <w:pPr>
              <w:ind w:right="-110"/>
              <w:jc w:val="right"/>
              <w:rPr>
                <w:rFonts w:ascii="Arial Narrow" w:hAnsi="Arial Narrow" w:cs="Arial"/>
                <w:b/>
                <w:sz w:val="20"/>
                <w:szCs w:val="20"/>
              </w:rPr>
            </w:pPr>
            <w:r>
              <w:rPr>
                <w:rFonts w:ascii="Arial Narrow" w:hAnsi="Arial Narrow" w:cs="Arial"/>
                <w:b/>
                <w:sz w:val="20"/>
                <w:szCs w:val="20"/>
              </w:rPr>
              <w:t>P133,990,958.47</w:t>
            </w:r>
          </w:p>
        </w:tc>
      </w:tr>
    </w:tbl>
    <w:p>
      <w:pPr>
        <w:pStyle w:val="ListParagraph"/>
        <w:ind w:left="1440"/>
        <w:contextualSpacing/>
        <w:jc w:val="both"/>
        <w:rPr>
          <w:rFonts w:ascii="Arial" w:hAnsi="Arial" w:cs="Arial"/>
          <w:sz w:val="22"/>
          <w:szCs w:val="22"/>
        </w:rPr>
      </w:pPr>
    </w:p>
    <w:p>
      <w:pPr>
        <w:pStyle w:val="ListParagraph"/>
        <w:numPr>
          <w:ilvl w:val="1"/>
          <w:numId w:val="15"/>
        </w:numPr>
        <w:ind w:left="1418" w:hanging="709"/>
        <w:contextualSpacing/>
        <w:jc w:val="both"/>
        <w:rPr>
          <w:rFonts w:ascii="Arial" w:hAnsi="Arial" w:cs="Arial"/>
          <w:color w:val="000000" w:themeColor="text1"/>
          <w:sz w:val="22"/>
          <w:szCs w:val="22"/>
        </w:rPr>
      </w:pPr>
      <w:r>
        <w:rPr>
          <w:rFonts w:ascii="Arial" w:hAnsi="Arial" w:cs="Arial"/>
          <w:b/>
          <w:color w:val="000000" w:themeColor="text1"/>
          <w:sz w:val="22"/>
          <w:szCs w:val="22"/>
        </w:rPr>
        <w:t>We recommended and Management agreed to direct the ABD and Charity Assistance Department (CAD) personnel to conduct immediate reconciliation of their records in order to determine the cause/s of the noted discrepancy of P133.991 million and effect necessary adjustment or correction in the affected records.</w:t>
      </w:r>
    </w:p>
    <w:p>
      <w:pPr>
        <w:spacing w:after="0" w:line="240" w:lineRule="auto"/>
        <w:contextualSpacing/>
        <w:jc w:val="both"/>
        <w:rPr>
          <w:rFonts w:ascii="Arial" w:hAnsi="Arial" w:cs="Arial"/>
        </w:rPr>
      </w:pPr>
    </w:p>
    <w:p>
      <w:pPr>
        <w:pStyle w:val="ListParagraph"/>
        <w:ind w:left="709" w:right="2941"/>
        <w:contextualSpacing/>
        <w:jc w:val="both"/>
        <w:rPr>
          <w:rFonts w:ascii="Arial" w:hAnsi="Arial" w:cs="Arial"/>
          <w:i/>
          <w:color w:val="000000" w:themeColor="text1"/>
          <w:sz w:val="22"/>
          <w:szCs w:val="22"/>
        </w:rPr>
      </w:pPr>
      <w:r>
        <w:rPr>
          <w:rFonts w:ascii="Arial" w:hAnsi="Arial" w:cs="Arial"/>
          <w:i/>
          <w:color w:val="000000" w:themeColor="text1"/>
          <w:sz w:val="22"/>
          <w:szCs w:val="22"/>
        </w:rPr>
        <w:t>Non-maintenance  of SL for each creditor that would support the GL balances as of December 31, 2020 of the VP-CF account amounting to P1,114.104 million as well as the AP-Miscellaneous account in the amount of P6.976 billion</w:t>
      </w:r>
    </w:p>
    <w:p>
      <w:pPr>
        <w:pStyle w:val="ListParagraph"/>
        <w:ind w:left="709" w:right="2941"/>
        <w:contextualSpacing/>
        <w:jc w:val="both"/>
        <w:rPr>
          <w:rFonts w:ascii="Arial" w:hAnsi="Arial" w:cs="Arial"/>
          <w:bCs/>
          <w:i/>
          <w:sz w:val="22"/>
          <w:szCs w:val="22"/>
        </w:rPr>
      </w:pPr>
    </w:p>
    <w:p>
      <w:pPr>
        <w:pStyle w:val="ListParagraph"/>
        <w:numPr>
          <w:ilvl w:val="1"/>
          <w:numId w:val="15"/>
        </w:numPr>
        <w:ind w:left="1418" w:hanging="709"/>
        <w:contextualSpacing/>
        <w:jc w:val="both"/>
        <w:rPr>
          <w:rFonts w:ascii="Arial" w:eastAsia="Calibri" w:hAnsi="Arial" w:cs="Arial"/>
          <w:bCs/>
          <w:sz w:val="22"/>
          <w:szCs w:val="22"/>
        </w:rPr>
      </w:pPr>
      <w:r>
        <w:rPr>
          <w:rFonts w:ascii="Arial" w:eastAsiaTheme="minorHAnsi" w:hAnsi="Arial" w:cs="Arial"/>
          <w:iCs/>
          <w:sz w:val="22"/>
          <w:szCs w:val="22"/>
        </w:rPr>
        <w:t xml:space="preserve">QC26 of </w:t>
      </w:r>
      <w:r>
        <w:rPr>
          <w:rFonts w:ascii="Arial" w:hAnsi="Arial" w:cs="Arial"/>
          <w:bCs/>
          <w:sz w:val="22"/>
          <w:szCs w:val="22"/>
        </w:rPr>
        <w:t>CFGPFR</w:t>
      </w:r>
      <w:r>
        <w:rPr>
          <w:rFonts w:ascii="Arial" w:eastAsiaTheme="minorHAnsi" w:hAnsi="Arial" w:cs="Arial"/>
          <w:iCs/>
          <w:sz w:val="22"/>
          <w:szCs w:val="22"/>
        </w:rPr>
        <w:t xml:space="preserve"> provides that:</w:t>
      </w:r>
    </w:p>
    <w:p>
      <w:pPr>
        <w:pStyle w:val="ListParagraph"/>
        <w:tabs>
          <w:tab w:val="left" w:pos="-3060"/>
        </w:tabs>
        <w:ind w:left="792" w:right="18"/>
        <w:jc w:val="both"/>
        <w:rPr>
          <w:rFonts w:ascii="Arial" w:eastAsia="Calibri" w:hAnsi="Arial" w:cs="Arial"/>
          <w:bCs/>
          <w:sz w:val="22"/>
          <w:szCs w:val="22"/>
        </w:rPr>
      </w:pPr>
    </w:p>
    <w:p>
      <w:pPr>
        <w:pStyle w:val="ListParagraph"/>
        <w:ind w:left="1985" w:right="702"/>
        <w:contextualSpacing/>
        <w:jc w:val="both"/>
        <w:rPr>
          <w:rFonts w:ascii="Arial" w:hAnsi="Arial" w:cs="Arial"/>
          <w:i/>
          <w:iCs/>
          <w:sz w:val="22"/>
          <w:szCs w:val="22"/>
        </w:rPr>
      </w:pPr>
      <w:r>
        <w:rPr>
          <w:rFonts w:ascii="Arial" w:eastAsiaTheme="minorHAnsi" w:hAnsi="Arial" w:cs="Arial"/>
          <w:i/>
          <w:iCs/>
          <w:sz w:val="22"/>
          <w:szCs w:val="22"/>
        </w:rPr>
        <w:t>Verifiability helps assure that information faithfully represents the economic phenomena it purports to represent. Verifiability means that different knowledgeable and independent observers could reach consensus, although not necessarily complete agreement, that a particular depiction is a faithful representation. Quantified information need not be a single point estimate to be verifiable. A range of possible amounts and the related probabilities can also be verified.</w:t>
      </w:r>
    </w:p>
    <w:p>
      <w:pPr>
        <w:pStyle w:val="ListParagraph"/>
        <w:ind w:left="709" w:right="2941"/>
        <w:contextualSpacing/>
        <w:jc w:val="both"/>
        <w:rPr>
          <w:rFonts w:ascii="Arial" w:hAnsi="Arial" w:cs="Arial"/>
          <w:bCs/>
          <w:i/>
          <w:sz w:val="22"/>
          <w:szCs w:val="22"/>
        </w:rPr>
      </w:pPr>
    </w:p>
    <w:p>
      <w:pPr>
        <w:pStyle w:val="ListParagraph"/>
        <w:numPr>
          <w:ilvl w:val="1"/>
          <w:numId w:val="15"/>
        </w:numPr>
        <w:ind w:left="1418" w:hanging="709"/>
        <w:contextualSpacing/>
        <w:jc w:val="both"/>
        <w:rPr>
          <w:rFonts w:ascii="Arial" w:hAnsi="Arial" w:cs="Arial"/>
          <w:color w:val="000000" w:themeColor="text1"/>
          <w:sz w:val="22"/>
          <w:szCs w:val="22"/>
        </w:rPr>
      </w:pPr>
      <w:r>
        <w:rPr>
          <w:rFonts w:ascii="Arial" w:hAnsi="Arial" w:cs="Arial"/>
          <w:color w:val="000000" w:themeColor="text1"/>
          <w:sz w:val="22"/>
          <w:szCs w:val="22"/>
        </w:rPr>
        <w:t>Appendix 6 of the Government Accounting Manual (GAM), Volume II, defines SL as:</w:t>
      </w:r>
    </w:p>
    <w:p>
      <w:pPr>
        <w:pStyle w:val="ListParagraph"/>
        <w:ind w:left="1440"/>
        <w:contextualSpacing/>
        <w:jc w:val="both"/>
        <w:rPr>
          <w:rFonts w:ascii="Arial" w:hAnsi="Arial" w:cs="Arial"/>
          <w:color w:val="000000" w:themeColor="text1"/>
          <w:sz w:val="22"/>
          <w:szCs w:val="22"/>
        </w:rPr>
      </w:pPr>
    </w:p>
    <w:p>
      <w:pPr>
        <w:pStyle w:val="ListParagraph"/>
        <w:ind w:left="1985" w:right="691"/>
        <w:contextualSpacing/>
        <w:jc w:val="both"/>
        <w:rPr>
          <w:rFonts w:ascii="Arial" w:hAnsi="Arial" w:cs="Arial"/>
          <w:i/>
          <w:color w:val="000000" w:themeColor="text1"/>
          <w:sz w:val="22"/>
          <w:szCs w:val="22"/>
        </w:rPr>
      </w:pPr>
      <w:r>
        <w:rPr>
          <w:rFonts w:ascii="Arial" w:hAnsi="Arial" w:cs="Arial"/>
          <w:i/>
          <w:color w:val="000000" w:themeColor="text1"/>
          <w:sz w:val="22"/>
          <w:szCs w:val="22"/>
        </w:rPr>
        <w:t xml:space="preserve">Subsidiary Ledgers 11. This ledger shows details of each control account in the </w:t>
      </w:r>
      <w:r>
        <w:rPr>
          <w:rFonts w:ascii="Arial" w:hAnsi="Arial" w:cs="Arial"/>
          <w:i/>
          <w:color w:val="000000" w:themeColor="text1"/>
          <w:sz w:val="22"/>
          <w:szCs w:val="22"/>
        </w:rPr>
        <w:tab/>
        <w:t>General Ledger which is maintained per account and fund cluster by Accounting Division/Unit.</w:t>
      </w:r>
    </w:p>
    <w:p>
      <w:pPr>
        <w:pStyle w:val="ListParagraph"/>
        <w:ind w:left="1440"/>
        <w:contextualSpacing/>
        <w:jc w:val="both"/>
        <w:rPr>
          <w:rFonts w:ascii="Arial" w:eastAsia="Calibri" w:hAnsi="Arial" w:cs="Arial"/>
          <w:b/>
          <w:sz w:val="22"/>
          <w:szCs w:val="22"/>
        </w:rPr>
      </w:pPr>
    </w:p>
    <w:p>
      <w:pPr>
        <w:pStyle w:val="ListParagraph"/>
        <w:numPr>
          <w:ilvl w:val="1"/>
          <w:numId w:val="15"/>
        </w:numPr>
        <w:ind w:left="1418" w:hanging="709"/>
        <w:contextualSpacing/>
        <w:jc w:val="both"/>
        <w:rPr>
          <w:rFonts w:ascii="Arial" w:eastAsia="Calibri" w:hAnsi="Arial" w:cs="Arial"/>
          <w:b/>
          <w:sz w:val="22"/>
          <w:szCs w:val="22"/>
        </w:rPr>
      </w:pPr>
      <w:r>
        <w:rPr>
          <w:rFonts w:ascii="Arial" w:hAnsi="Arial" w:cs="Arial"/>
          <w:sz w:val="22"/>
          <w:szCs w:val="22"/>
        </w:rPr>
        <w:t>The Audit Team noted that the ABD did not maintain an SL for each creditor comprising the VP-CF account and that its year-end balance of P1,114.104 million was supported only by a schedule showing the list of unpaid processed Disbursement Vouchers of the Head Office and list of unpaid guarantee letters for the various PCSO branches.  It also included a line item amount for the unreleased checks and for the prior years’ transactions subject for verification. The said schedule lacked the necessary details that could prove the validity of the recorded liabilities nor can the individual balance of each creditor could be extracted therefrom at any given time.</w:t>
      </w:r>
    </w:p>
    <w:p>
      <w:pPr>
        <w:pStyle w:val="ListParagraph"/>
        <w:numPr>
          <w:ilvl w:val="1"/>
          <w:numId w:val="15"/>
        </w:numPr>
        <w:ind w:left="1418" w:hanging="709"/>
        <w:contextualSpacing/>
        <w:jc w:val="both"/>
        <w:rPr>
          <w:rFonts w:ascii="Arial" w:eastAsia="Calibri" w:hAnsi="Arial" w:cs="Arial"/>
          <w:b/>
          <w:sz w:val="22"/>
          <w:szCs w:val="22"/>
        </w:rPr>
      </w:pPr>
      <w:r>
        <w:rPr>
          <w:rFonts w:ascii="Arial" w:hAnsi="Arial" w:cs="Arial"/>
          <w:sz w:val="22"/>
          <w:szCs w:val="22"/>
        </w:rPr>
        <w:lastRenderedPageBreak/>
        <w:t xml:space="preserve"> Moreover, it was noted that the “prior years’ transactions subject for verification” indicated in the CY 2020 schedule for the VP-CF account pertained to the discrepancy between the balances per GL and Schedule of the said account amounting to P0.846 million as of December 31, 2019.</w:t>
      </w:r>
    </w:p>
    <w:p>
      <w:pPr>
        <w:pStyle w:val="ListParagraph"/>
        <w:rPr>
          <w:rFonts w:ascii="Arial" w:eastAsia="Calibri" w:hAnsi="Arial" w:cs="Arial"/>
          <w:b/>
          <w:sz w:val="22"/>
          <w:szCs w:val="22"/>
        </w:rPr>
      </w:pPr>
    </w:p>
    <w:p>
      <w:pPr>
        <w:pStyle w:val="ListParagraph"/>
        <w:numPr>
          <w:ilvl w:val="1"/>
          <w:numId w:val="15"/>
        </w:numPr>
        <w:ind w:left="1418" w:hanging="709"/>
        <w:contextualSpacing/>
        <w:jc w:val="both"/>
        <w:rPr>
          <w:rFonts w:ascii="Arial" w:eastAsia="Calibri" w:hAnsi="Arial" w:cs="Arial"/>
          <w:b/>
          <w:sz w:val="22"/>
          <w:szCs w:val="22"/>
        </w:rPr>
      </w:pPr>
      <w:r>
        <w:rPr>
          <w:rFonts w:ascii="Arial" w:hAnsi="Arial" w:cs="Arial"/>
          <w:sz w:val="22"/>
          <w:szCs w:val="22"/>
        </w:rPr>
        <w:t>On the other hand, the balance of the AP-Miscellaneous account in the amount of P6.976 billion is composed of the various unpaid obligations of the PCSO that are being accrued every end of the year.  However, the said accruals were not supported with complete documentation and SLs to validate the occurrence and completeness of the recorded liabilities. Although an Aging Schedule was submitted to the Audit Team for the subject account, this was found to be incomplete, unreliable and had a discrepancy  of P58.870 million when compared with the corresponding GL balance.</w:t>
      </w:r>
    </w:p>
    <w:p>
      <w:pPr>
        <w:pStyle w:val="ListParagraph"/>
        <w:rPr>
          <w:rFonts w:ascii="Arial" w:eastAsia="Calibri" w:hAnsi="Arial" w:cs="Arial"/>
          <w:b/>
          <w:sz w:val="22"/>
          <w:szCs w:val="22"/>
        </w:rPr>
      </w:pPr>
    </w:p>
    <w:p>
      <w:pPr>
        <w:pStyle w:val="ListParagraph"/>
        <w:numPr>
          <w:ilvl w:val="1"/>
          <w:numId w:val="15"/>
        </w:numPr>
        <w:ind w:left="1418" w:hanging="709"/>
        <w:contextualSpacing/>
        <w:jc w:val="both"/>
        <w:rPr>
          <w:rFonts w:ascii="Arial" w:eastAsia="Calibri" w:hAnsi="Arial" w:cs="Arial"/>
          <w:b/>
          <w:color w:val="000000" w:themeColor="text1"/>
          <w:sz w:val="22"/>
          <w:szCs w:val="22"/>
        </w:rPr>
      </w:pPr>
      <w:r>
        <w:rPr>
          <w:rFonts w:ascii="Arial" w:hAnsi="Arial" w:cs="Arial"/>
          <w:color w:val="000000" w:themeColor="text1"/>
          <w:sz w:val="22"/>
          <w:szCs w:val="22"/>
        </w:rPr>
        <w:t>It is emphasized that an Aging Schedule, being not one of the books of accounts,  could not compensate the absence of the required SLs since it merely categorizes the subject liabilities into how long they have remained outstanding. An SL, when properly maintained, captures all the transactions affecting each creditor with the corresponding references of the source documents, which can be verified to prove the validity of the recorded liability at any given time.</w:t>
      </w:r>
    </w:p>
    <w:p>
      <w:pPr>
        <w:pStyle w:val="ListParagraph"/>
        <w:rPr>
          <w:rFonts w:ascii="Arial" w:eastAsia="Calibri" w:hAnsi="Arial" w:cs="Arial"/>
          <w:b/>
          <w:sz w:val="22"/>
          <w:szCs w:val="22"/>
        </w:rPr>
      </w:pPr>
    </w:p>
    <w:p>
      <w:pPr>
        <w:pStyle w:val="ListParagraph"/>
        <w:numPr>
          <w:ilvl w:val="1"/>
          <w:numId w:val="15"/>
        </w:numPr>
        <w:ind w:left="1418" w:hanging="709"/>
        <w:contextualSpacing/>
        <w:jc w:val="both"/>
        <w:rPr>
          <w:rFonts w:ascii="Arial" w:eastAsia="Calibri" w:hAnsi="Arial" w:cs="Arial"/>
          <w:b/>
          <w:color w:val="000000" w:themeColor="text1"/>
          <w:sz w:val="22"/>
          <w:szCs w:val="22"/>
        </w:rPr>
      </w:pPr>
      <w:r>
        <w:rPr>
          <w:rFonts w:ascii="Arial" w:hAnsi="Arial" w:cs="Arial"/>
          <w:b/>
          <w:color w:val="000000" w:themeColor="text1"/>
          <w:sz w:val="22"/>
          <w:szCs w:val="22"/>
        </w:rPr>
        <w:t>We recommended and Management agreed to direct the concerned ABD personnel to maintain an SL for each creditor to support the P1,114.104 million and P6.976 billion GL balances of the VP-CF and AP-Miscellaneous accounts, respectively.</w:t>
      </w:r>
    </w:p>
    <w:p>
      <w:pPr>
        <w:pStyle w:val="ListParagraph"/>
        <w:rPr>
          <w:rFonts w:ascii="Arial" w:eastAsia="Calibri" w:hAnsi="Arial" w:cs="Arial"/>
          <w:b/>
          <w:sz w:val="22"/>
          <w:szCs w:val="22"/>
        </w:rPr>
      </w:pPr>
    </w:p>
    <w:p>
      <w:pPr>
        <w:pStyle w:val="ListParagraph"/>
        <w:ind w:right="2941"/>
        <w:jc w:val="both"/>
        <w:rPr>
          <w:rFonts w:ascii="Arial" w:hAnsi="Arial" w:cs="Arial"/>
          <w:i/>
          <w:color w:val="000000" w:themeColor="text1"/>
          <w:sz w:val="22"/>
          <w:szCs w:val="22"/>
        </w:rPr>
      </w:pPr>
      <w:r>
        <w:rPr>
          <w:rFonts w:ascii="Arial" w:hAnsi="Arial" w:cs="Arial"/>
          <w:i/>
          <w:color w:val="000000" w:themeColor="text1"/>
          <w:sz w:val="22"/>
          <w:szCs w:val="22"/>
        </w:rPr>
        <w:t>Existence of P127.647 million and P2.195 billion liabilities under the VP-CF and AP-Miscellaneous accounts, respectively, that remained outstanding for more than two years, against which no actual claims had been filed</w:t>
      </w:r>
    </w:p>
    <w:p>
      <w:pPr>
        <w:pStyle w:val="ListParagraph"/>
        <w:ind w:right="2941"/>
        <w:jc w:val="both"/>
        <w:rPr>
          <w:rFonts w:ascii="Arial" w:hAnsi="Arial" w:cs="Arial"/>
          <w:bCs/>
          <w:i/>
          <w:color w:val="000000" w:themeColor="text1"/>
          <w:sz w:val="22"/>
          <w:szCs w:val="22"/>
        </w:rPr>
      </w:pPr>
    </w:p>
    <w:p>
      <w:pPr>
        <w:pStyle w:val="ListParagraph"/>
        <w:numPr>
          <w:ilvl w:val="1"/>
          <w:numId w:val="15"/>
        </w:numPr>
        <w:ind w:left="1418" w:hanging="709"/>
        <w:contextualSpacing/>
        <w:jc w:val="both"/>
        <w:rPr>
          <w:rFonts w:ascii="Arial" w:eastAsia="Calibri" w:hAnsi="Arial" w:cs="Arial"/>
          <w:b/>
          <w:color w:val="000000" w:themeColor="text1"/>
          <w:sz w:val="22"/>
          <w:szCs w:val="22"/>
        </w:rPr>
      </w:pPr>
      <w:r>
        <w:rPr>
          <w:rFonts w:ascii="Arial" w:hAnsi="Arial" w:cs="Arial"/>
          <w:color w:val="000000" w:themeColor="text1"/>
          <w:sz w:val="22"/>
          <w:szCs w:val="22"/>
        </w:rPr>
        <w:t>Section 3.2(b) of COA Circular No. 99-004 dated August 17, 1999 provides:</w:t>
      </w:r>
    </w:p>
    <w:p>
      <w:pPr>
        <w:pStyle w:val="ListParagraph"/>
        <w:ind w:left="1440"/>
        <w:contextualSpacing/>
        <w:jc w:val="both"/>
        <w:rPr>
          <w:rFonts w:ascii="Arial" w:hAnsi="Arial" w:cs="Arial"/>
          <w:color w:val="000000" w:themeColor="text1"/>
          <w:sz w:val="22"/>
          <w:szCs w:val="22"/>
        </w:rPr>
      </w:pPr>
    </w:p>
    <w:p>
      <w:pPr>
        <w:pStyle w:val="ListParagraph"/>
        <w:ind w:left="1985" w:right="691"/>
        <w:contextualSpacing/>
        <w:jc w:val="both"/>
        <w:rPr>
          <w:rFonts w:ascii="Arial" w:hAnsi="Arial" w:cs="Arial"/>
          <w:color w:val="000000" w:themeColor="text1"/>
          <w:sz w:val="22"/>
          <w:szCs w:val="22"/>
        </w:rPr>
      </w:pPr>
      <w:r>
        <w:rPr>
          <w:rFonts w:ascii="Arial" w:hAnsi="Arial" w:cs="Arial"/>
          <w:i/>
          <w:color w:val="000000" w:themeColor="text1"/>
          <w:sz w:val="22"/>
          <w:szCs w:val="22"/>
        </w:rPr>
        <w:t xml:space="preserve">Payables – Unliquidated Obligations which has been outstanding for two years or more and against which no actual claims, administrative or judicial, has been filed or which is not covered by perfected contracts should be reverted to the CROU. </w:t>
      </w:r>
    </w:p>
    <w:p>
      <w:pPr>
        <w:pStyle w:val="ListParagraph"/>
        <w:ind w:left="1440"/>
        <w:contextualSpacing/>
        <w:jc w:val="both"/>
        <w:rPr>
          <w:rFonts w:ascii="Arial" w:eastAsia="Calibri" w:hAnsi="Arial" w:cs="Arial"/>
          <w:b/>
          <w:sz w:val="22"/>
          <w:szCs w:val="22"/>
        </w:rPr>
      </w:pPr>
    </w:p>
    <w:p>
      <w:pPr>
        <w:pStyle w:val="ListParagraph"/>
        <w:numPr>
          <w:ilvl w:val="1"/>
          <w:numId w:val="15"/>
        </w:numPr>
        <w:ind w:left="1418" w:hanging="709"/>
        <w:contextualSpacing/>
        <w:jc w:val="both"/>
        <w:rPr>
          <w:rFonts w:ascii="Arial" w:eastAsia="Calibri" w:hAnsi="Arial" w:cs="Arial"/>
          <w:b/>
          <w:sz w:val="22"/>
          <w:szCs w:val="22"/>
        </w:rPr>
      </w:pPr>
      <w:r>
        <w:rPr>
          <w:rFonts w:ascii="Arial" w:hAnsi="Arial" w:cs="Arial"/>
          <w:sz w:val="22"/>
          <w:szCs w:val="22"/>
        </w:rPr>
        <w:t>Verification of the schedule of VP-CF for the Head Office disclosed that there were payables amounting to P1.131 million that had been outstanding for more than two (2) years, composed of twelve (12) creditors under the Individual Medical Assistance Program (currently Medical Access Program) of the PCSO, for which no actual claims had been filed</w:t>
      </w:r>
      <w:r>
        <w:rPr>
          <w:rFonts w:ascii="Arial" w:hAnsi="Arial" w:cs="Arial"/>
          <w:color w:val="0070C0"/>
          <w:sz w:val="22"/>
          <w:szCs w:val="22"/>
        </w:rPr>
        <w:t xml:space="preserve">. </w:t>
      </w:r>
      <w:r>
        <w:rPr>
          <w:rFonts w:ascii="Arial" w:hAnsi="Arial" w:cs="Arial"/>
          <w:sz w:val="22"/>
          <w:szCs w:val="22"/>
        </w:rPr>
        <w:t xml:space="preserve">In addition, the Aging Schedule for the various PCSO branches reflected a total amount of P126.516 million payables that had been outstanding for more than two (2) years for which no actual claims had been filed, details shown in Table 2. </w:t>
      </w:r>
    </w:p>
    <w:p>
      <w:pPr>
        <w:pStyle w:val="ListParagraph"/>
        <w:rPr>
          <w:rFonts w:ascii="Arial" w:eastAsia="Calibri" w:hAnsi="Arial" w:cs="Arial"/>
          <w:b/>
          <w:sz w:val="22"/>
          <w:szCs w:val="22"/>
        </w:rPr>
      </w:pPr>
    </w:p>
    <w:p>
      <w:pPr>
        <w:pStyle w:val="ListParagraph"/>
        <w:ind w:left="0"/>
        <w:contextualSpacing/>
        <w:jc w:val="center"/>
        <w:rPr>
          <w:rFonts w:ascii="Arial" w:eastAsia="Calibri" w:hAnsi="Arial" w:cs="Arial"/>
          <w:b/>
          <w:sz w:val="20"/>
          <w:szCs w:val="20"/>
        </w:rPr>
      </w:pPr>
      <w:r>
        <w:rPr>
          <w:rFonts w:ascii="Arial" w:eastAsia="Calibri" w:hAnsi="Arial" w:cs="Arial"/>
          <w:b/>
          <w:sz w:val="20"/>
          <w:szCs w:val="20"/>
        </w:rPr>
        <w:lastRenderedPageBreak/>
        <w:t xml:space="preserve">Table 2 -  Payables of Branches which have been </w:t>
      </w:r>
    </w:p>
    <w:p>
      <w:pPr>
        <w:pStyle w:val="ListParagraph"/>
        <w:ind w:left="0"/>
        <w:contextualSpacing/>
        <w:jc w:val="center"/>
        <w:rPr>
          <w:rFonts w:ascii="Arial" w:eastAsia="Calibri" w:hAnsi="Arial" w:cs="Arial"/>
          <w:b/>
          <w:sz w:val="20"/>
          <w:szCs w:val="20"/>
        </w:rPr>
      </w:pPr>
      <w:r>
        <w:rPr>
          <w:rFonts w:ascii="Arial" w:eastAsia="Calibri" w:hAnsi="Arial" w:cs="Arial"/>
          <w:b/>
          <w:sz w:val="20"/>
          <w:szCs w:val="20"/>
        </w:rPr>
        <w:t>Oustanding for more than 2 years</w:t>
      </w:r>
    </w:p>
    <w:p>
      <w:pPr>
        <w:pStyle w:val="ListParagraph"/>
        <w:rPr>
          <w:rFonts w:ascii="Arial" w:eastAsia="Calibri" w:hAnsi="Arial" w:cs="Arial"/>
          <w:b/>
          <w:sz w:val="10"/>
          <w:szCs w:val="10"/>
        </w:rPr>
      </w:pPr>
    </w:p>
    <w:tbl>
      <w:tblPr>
        <w:tblW w:w="8640" w:type="dxa"/>
        <w:tblLook w:val="04A0" w:firstRow="1" w:lastRow="0" w:firstColumn="1" w:lastColumn="0" w:noHBand="0" w:noVBand="1"/>
      </w:tblPr>
      <w:tblGrid>
        <w:gridCol w:w="1344"/>
        <w:gridCol w:w="1347"/>
        <w:gridCol w:w="1227"/>
        <w:gridCol w:w="962"/>
        <w:gridCol w:w="1227"/>
        <w:gridCol w:w="1227"/>
        <w:gridCol w:w="1306"/>
      </w:tblGrid>
      <w:tr>
        <w:trPr>
          <w:trHeight w:val="84"/>
        </w:trPr>
        <w:tc>
          <w:tcPr>
            <w:tcW w:w="1381" w:type="dxa"/>
            <w:tcBorders>
              <w:top w:val="single" w:sz="4" w:space="0" w:color="auto"/>
              <w:bottom w:val="single" w:sz="4" w:space="0" w:color="auto"/>
            </w:tcBorders>
            <w:noWrap/>
            <w:vAlign w:val="bottom"/>
            <w:hideMark/>
          </w:tcPr>
          <w:p>
            <w:pPr>
              <w:spacing w:after="0" w:line="240" w:lineRule="auto"/>
              <w:ind w:left="-110"/>
              <w:rPr>
                <w:rFonts w:ascii="Arial Narrow" w:hAnsi="Arial Narrow"/>
                <w:b/>
                <w:bCs/>
                <w:color w:val="000000" w:themeColor="text1"/>
                <w:sz w:val="18"/>
                <w:szCs w:val="18"/>
              </w:rPr>
            </w:pPr>
            <w:r>
              <w:rPr>
                <w:rFonts w:ascii="Arial Narrow" w:hAnsi="Arial Narrow"/>
                <w:b/>
                <w:bCs/>
                <w:color w:val="000000" w:themeColor="text1"/>
                <w:sz w:val="18"/>
                <w:szCs w:val="18"/>
              </w:rPr>
              <w:t>Age of Payables</w:t>
            </w:r>
          </w:p>
        </w:tc>
        <w:tc>
          <w:tcPr>
            <w:tcW w:w="1383" w:type="dxa"/>
            <w:tcBorders>
              <w:top w:val="single" w:sz="4" w:space="0" w:color="auto"/>
              <w:bottom w:val="single" w:sz="4" w:space="0" w:color="auto"/>
            </w:tcBorders>
            <w:noWrap/>
            <w:vAlign w:val="bottom"/>
            <w:hideMark/>
          </w:tcPr>
          <w:p>
            <w:pPr>
              <w:spacing w:after="0" w:line="240" w:lineRule="auto"/>
              <w:ind w:left="-110"/>
              <w:rPr>
                <w:rFonts w:ascii="Arial Narrow" w:hAnsi="Arial Narrow"/>
                <w:b/>
                <w:bCs/>
                <w:color w:val="000000" w:themeColor="text1"/>
                <w:sz w:val="18"/>
                <w:szCs w:val="18"/>
                <w:lang w:eastAsia="en-PH"/>
              </w:rPr>
            </w:pPr>
            <w:r>
              <w:rPr>
                <w:rFonts w:ascii="Arial Narrow" w:hAnsi="Arial Narrow"/>
                <w:b/>
                <w:bCs/>
                <w:color w:val="000000" w:themeColor="text1"/>
                <w:sz w:val="18"/>
                <w:szCs w:val="18"/>
                <w:lang w:eastAsia="en-PH"/>
              </w:rPr>
              <w:t>Account Name</w:t>
            </w:r>
          </w:p>
        </w:tc>
        <w:tc>
          <w:tcPr>
            <w:tcW w:w="1211" w:type="dxa"/>
            <w:tcBorders>
              <w:top w:val="single" w:sz="4" w:space="0" w:color="auto"/>
              <w:left w:val="nil"/>
              <w:bottom w:val="single" w:sz="4" w:space="0" w:color="auto"/>
              <w:right w:val="nil"/>
            </w:tcBorders>
            <w:noWrap/>
            <w:vAlign w:val="bottom"/>
            <w:hideMark/>
          </w:tcPr>
          <w:p>
            <w:pPr>
              <w:spacing w:after="0" w:line="240" w:lineRule="auto"/>
              <w:ind w:right="-110"/>
              <w:jc w:val="right"/>
              <w:rPr>
                <w:rFonts w:ascii="Arial Narrow" w:eastAsia="Times New Roman" w:hAnsi="Arial Narrow" w:cs="Arial"/>
                <w:b/>
                <w:bCs/>
                <w:color w:val="000000" w:themeColor="text1"/>
                <w:sz w:val="18"/>
                <w:szCs w:val="18"/>
                <w:lang w:eastAsia="en-PH"/>
              </w:rPr>
            </w:pPr>
            <w:r>
              <w:rPr>
                <w:rFonts w:ascii="Arial Narrow" w:hAnsi="Arial Narrow"/>
                <w:b/>
                <w:bCs/>
                <w:color w:val="000000" w:themeColor="text1"/>
                <w:sz w:val="18"/>
                <w:szCs w:val="18"/>
                <w:lang w:eastAsia="en-PH"/>
              </w:rPr>
              <w:t>NCL</w:t>
            </w:r>
          </w:p>
        </w:tc>
        <w:tc>
          <w:tcPr>
            <w:tcW w:w="954" w:type="dxa"/>
            <w:tcBorders>
              <w:top w:val="single" w:sz="4" w:space="0" w:color="auto"/>
              <w:left w:val="nil"/>
              <w:bottom w:val="single" w:sz="4" w:space="0" w:color="auto"/>
              <w:right w:val="nil"/>
            </w:tcBorders>
            <w:noWrap/>
            <w:vAlign w:val="bottom"/>
            <w:hideMark/>
          </w:tcPr>
          <w:p>
            <w:pPr>
              <w:spacing w:after="0" w:line="240" w:lineRule="auto"/>
              <w:ind w:right="-110"/>
              <w:jc w:val="right"/>
              <w:rPr>
                <w:rFonts w:ascii="Arial Narrow" w:hAnsi="Arial Narrow"/>
                <w:b/>
                <w:bCs/>
                <w:color w:val="000000" w:themeColor="text1"/>
                <w:sz w:val="18"/>
                <w:szCs w:val="18"/>
                <w:lang w:eastAsia="en-PH"/>
              </w:rPr>
            </w:pPr>
            <w:r>
              <w:rPr>
                <w:rFonts w:ascii="Arial Narrow" w:hAnsi="Arial Narrow"/>
                <w:b/>
                <w:bCs/>
                <w:color w:val="000000" w:themeColor="text1"/>
                <w:sz w:val="18"/>
                <w:szCs w:val="18"/>
                <w:lang w:eastAsia="en-PH"/>
              </w:rPr>
              <w:t>STBR</w:t>
            </w:r>
          </w:p>
        </w:tc>
        <w:tc>
          <w:tcPr>
            <w:tcW w:w="1211" w:type="dxa"/>
            <w:tcBorders>
              <w:top w:val="single" w:sz="4" w:space="0" w:color="auto"/>
              <w:left w:val="nil"/>
              <w:bottom w:val="single" w:sz="4" w:space="0" w:color="auto"/>
              <w:right w:val="nil"/>
            </w:tcBorders>
            <w:noWrap/>
            <w:vAlign w:val="bottom"/>
            <w:hideMark/>
          </w:tcPr>
          <w:p>
            <w:pPr>
              <w:spacing w:after="0" w:line="240" w:lineRule="auto"/>
              <w:ind w:right="-110"/>
              <w:jc w:val="right"/>
              <w:rPr>
                <w:rFonts w:ascii="Arial Narrow" w:hAnsi="Arial Narrow"/>
                <w:b/>
                <w:bCs/>
                <w:color w:val="000000" w:themeColor="text1"/>
                <w:sz w:val="18"/>
                <w:szCs w:val="18"/>
                <w:lang w:eastAsia="en-PH"/>
              </w:rPr>
            </w:pPr>
            <w:r>
              <w:rPr>
                <w:rFonts w:ascii="Arial Narrow" w:hAnsi="Arial Narrow"/>
                <w:b/>
                <w:bCs/>
                <w:color w:val="000000" w:themeColor="text1"/>
                <w:sz w:val="18"/>
                <w:szCs w:val="18"/>
                <w:lang w:eastAsia="en-PH"/>
              </w:rPr>
              <w:t>Visayas</w:t>
            </w:r>
          </w:p>
        </w:tc>
        <w:tc>
          <w:tcPr>
            <w:tcW w:w="1211" w:type="dxa"/>
            <w:tcBorders>
              <w:top w:val="single" w:sz="4" w:space="0" w:color="auto"/>
              <w:left w:val="nil"/>
              <w:bottom w:val="single" w:sz="4" w:space="0" w:color="auto"/>
              <w:right w:val="nil"/>
            </w:tcBorders>
            <w:noWrap/>
            <w:vAlign w:val="bottom"/>
            <w:hideMark/>
          </w:tcPr>
          <w:p>
            <w:pPr>
              <w:spacing w:after="0" w:line="240" w:lineRule="auto"/>
              <w:ind w:right="-110"/>
              <w:jc w:val="right"/>
              <w:rPr>
                <w:rFonts w:ascii="Arial Narrow" w:hAnsi="Arial Narrow"/>
                <w:b/>
                <w:bCs/>
                <w:color w:val="000000" w:themeColor="text1"/>
                <w:sz w:val="18"/>
                <w:szCs w:val="18"/>
                <w:lang w:eastAsia="en-PH"/>
              </w:rPr>
            </w:pPr>
            <w:r>
              <w:rPr>
                <w:rFonts w:ascii="Arial Narrow" w:hAnsi="Arial Narrow"/>
                <w:b/>
                <w:bCs/>
                <w:color w:val="000000" w:themeColor="text1"/>
                <w:sz w:val="18"/>
                <w:szCs w:val="18"/>
                <w:lang w:eastAsia="en-PH"/>
              </w:rPr>
              <w:t>Mindanao</w:t>
            </w:r>
          </w:p>
        </w:tc>
        <w:tc>
          <w:tcPr>
            <w:tcW w:w="1289" w:type="dxa"/>
            <w:tcBorders>
              <w:top w:val="single" w:sz="4" w:space="0" w:color="auto"/>
              <w:left w:val="nil"/>
              <w:bottom w:val="single" w:sz="4" w:space="0" w:color="auto"/>
              <w:right w:val="nil"/>
            </w:tcBorders>
            <w:noWrap/>
            <w:vAlign w:val="bottom"/>
            <w:hideMark/>
          </w:tcPr>
          <w:p>
            <w:pPr>
              <w:spacing w:after="0" w:line="240" w:lineRule="auto"/>
              <w:ind w:right="-50"/>
              <w:jc w:val="right"/>
              <w:rPr>
                <w:rFonts w:ascii="Arial Narrow" w:hAnsi="Arial Narrow"/>
                <w:b/>
                <w:bCs/>
                <w:color w:val="000000" w:themeColor="text1"/>
                <w:sz w:val="18"/>
                <w:szCs w:val="18"/>
                <w:lang w:eastAsia="en-PH"/>
              </w:rPr>
            </w:pPr>
            <w:r>
              <w:rPr>
                <w:rFonts w:ascii="Arial Narrow" w:hAnsi="Arial Narrow"/>
                <w:b/>
                <w:bCs/>
                <w:color w:val="000000" w:themeColor="text1"/>
                <w:sz w:val="18"/>
                <w:szCs w:val="18"/>
                <w:lang w:eastAsia="en-PH"/>
              </w:rPr>
              <w:t>Total</w:t>
            </w:r>
          </w:p>
        </w:tc>
      </w:tr>
      <w:tr>
        <w:trPr>
          <w:trHeight w:val="255"/>
        </w:trPr>
        <w:tc>
          <w:tcPr>
            <w:tcW w:w="1381" w:type="dxa"/>
            <w:tcBorders>
              <w:top w:val="single" w:sz="4" w:space="0" w:color="auto"/>
            </w:tcBorders>
            <w:noWrap/>
            <w:vAlign w:val="bottom"/>
            <w:hideMark/>
          </w:tcPr>
          <w:p>
            <w:pPr>
              <w:spacing w:after="0" w:line="240" w:lineRule="auto"/>
              <w:ind w:left="-110"/>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BRANCHES </w:t>
            </w:r>
          </w:p>
          <w:p>
            <w:pPr>
              <w:spacing w:after="0" w:line="240" w:lineRule="auto"/>
              <w:ind w:left="-110"/>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(2 yrs)</w:t>
            </w:r>
          </w:p>
        </w:tc>
        <w:tc>
          <w:tcPr>
            <w:tcW w:w="1383" w:type="dxa"/>
            <w:tcBorders>
              <w:top w:val="single" w:sz="4" w:space="0" w:color="auto"/>
            </w:tcBorders>
            <w:noWrap/>
            <w:vAlign w:val="bottom"/>
            <w:hideMark/>
          </w:tcPr>
          <w:p>
            <w:pPr>
              <w:spacing w:after="0" w:line="240" w:lineRule="auto"/>
              <w:ind w:left="-110"/>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Accounts Payable - Charity Fund</w:t>
            </w:r>
          </w:p>
        </w:tc>
        <w:tc>
          <w:tcPr>
            <w:tcW w:w="1211" w:type="dxa"/>
            <w:tcBorders>
              <w:top w:val="single" w:sz="4" w:space="0" w:color="auto"/>
            </w:tcBorders>
            <w:noWrap/>
            <w:vAlign w:val="bottom"/>
            <w:hideMark/>
          </w:tcPr>
          <w:p>
            <w:pPr>
              <w:spacing w:after="0" w:line="240" w:lineRule="auto"/>
              <w:ind w:right="-110"/>
              <w:jc w:val="right"/>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    P11,697,946.23 </w:t>
            </w:r>
          </w:p>
        </w:tc>
        <w:tc>
          <w:tcPr>
            <w:tcW w:w="954" w:type="dxa"/>
            <w:tcBorders>
              <w:top w:val="single" w:sz="4" w:space="0" w:color="auto"/>
            </w:tcBorders>
            <w:noWrap/>
            <w:vAlign w:val="bottom"/>
            <w:hideMark/>
          </w:tcPr>
          <w:p>
            <w:pPr>
              <w:spacing w:after="0" w:line="240" w:lineRule="auto"/>
              <w:ind w:right="-110" w:hanging="103"/>
              <w:jc w:val="right"/>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            P48,100.00 </w:t>
            </w:r>
          </w:p>
        </w:tc>
        <w:tc>
          <w:tcPr>
            <w:tcW w:w="1211" w:type="dxa"/>
            <w:noWrap/>
            <w:vAlign w:val="bottom"/>
            <w:hideMark/>
          </w:tcPr>
          <w:p>
            <w:pPr>
              <w:spacing w:after="0" w:line="240" w:lineRule="auto"/>
              <w:ind w:right="-110"/>
              <w:jc w:val="right"/>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      P15,417,857.47 </w:t>
            </w:r>
          </w:p>
        </w:tc>
        <w:tc>
          <w:tcPr>
            <w:tcW w:w="1211" w:type="dxa"/>
            <w:noWrap/>
            <w:vAlign w:val="bottom"/>
            <w:hideMark/>
          </w:tcPr>
          <w:p>
            <w:pPr>
              <w:spacing w:after="0" w:line="240" w:lineRule="auto"/>
              <w:ind w:right="-110"/>
              <w:jc w:val="right"/>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    P20,605,252.78 </w:t>
            </w:r>
          </w:p>
        </w:tc>
        <w:tc>
          <w:tcPr>
            <w:tcW w:w="1289" w:type="dxa"/>
            <w:noWrap/>
            <w:vAlign w:val="bottom"/>
            <w:hideMark/>
          </w:tcPr>
          <w:p>
            <w:pPr>
              <w:spacing w:after="0" w:line="240" w:lineRule="auto"/>
              <w:ind w:right="-50"/>
              <w:jc w:val="right"/>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    P47,769,156.48 </w:t>
            </w:r>
          </w:p>
        </w:tc>
      </w:tr>
      <w:tr>
        <w:trPr>
          <w:trHeight w:val="378"/>
        </w:trPr>
        <w:tc>
          <w:tcPr>
            <w:tcW w:w="1381" w:type="dxa"/>
            <w:tcBorders>
              <w:bottom w:val="single" w:sz="4" w:space="0" w:color="auto"/>
            </w:tcBorders>
            <w:noWrap/>
            <w:vAlign w:val="bottom"/>
          </w:tcPr>
          <w:p>
            <w:pPr>
              <w:spacing w:after="0" w:line="240" w:lineRule="auto"/>
              <w:ind w:left="-110"/>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BRANCHES </w:t>
            </w:r>
          </w:p>
          <w:p>
            <w:pPr>
              <w:spacing w:after="0" w:line="240" w:lineRule="auto"/>
              <w:ind w:left="-110"/>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(over  2 yrs)</w:t>
            </w:r>
          </w:p>
        </w:tc>
        <w:tc>
          <w:tcPr>
            <w:tcW w:w="1383" w:type="dxa"/>
            <w:tcBorders>
              <w:bottom w:val="single" w:sz="4" w:space="0" w:color="auto"/>
            </w:tcBorders>
            <w:noWrap/>
            <w:vAlign w:val="bottom"/>
            <w:hideMark/>
          </w:tcPr>
          <w:p>
            <w:pPr>
              <w:spacing w:after="0" w:line="240" w:lineRule="auto"/>
              <w:ind w:left="-110"/>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Accounts Payable - Charity Fund</w:t>
            </w:r>
          </w:p>
        </w:tc>
        <w:tc>
          <w:tcPr>
            <w:tcW w:w="1211" w:type="dxa"/>
            <w:tcBorders>
              <w:top w:val="nil"/>
              <w:left w:val="nil"/>
              <w:bottom w:val="single" w:sz="4" w:space="0" w:color="auto"/>
              <w:right w:val="nil"/>
            </w:tcBorders>
            <w:noWrap/>
            <w:vAlign w:val="bottom"/>
            <w:hideMark/>
          </w:tcPr>
          <w:p>
            <w:pPr>
              <w:spacing w:after="0" w:line="240" w:lineRule="auto"/>
              <w:ind w:right="-110"/>
              <w:jc w:val="right"/>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    30,083,478.63 </w:t>
            </w:r>
          </w:p>
        </w:tc>
        <w:tc>
          <w:tcPr>
            <w:tcW w:w="954" w:type="dxa"/>
            <w:tcBorders>
              <w:top w:val="nil"/>
              <w:left w:val="nil"/>
              <w:bottom w:val="single" w:sz="4" w:space="0" w:color="auto"/>
              <w:right w:val="nil"/>
            </w:tcBorders>
            <w:noWrap/>
            <w:vAlign w:val="bottom"/>
            <w:hideMark/>
          </w:tcPr>
          <w:p>
            <w:pPr>
              <w:spacing w:after="0" w:line="240" w:lineRule="auto"/>
              <w:ind w:right="-110"/>
              <w:jc w:val="right"/>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           124,000.00 </w:t>
            </w:r>
          </w:p>
        </w:tc>
        <w:tc>
          <w:tcPr>
            <w:tcW w:w="1211" w:type="dxa"/>
            <w:tcBorders>
              <w:top w:val="nil"/>
              <w:left w:val="nil"/>
              <w:bottom w:val="single" w:sz="4" w:space="0" w:color="auto"/>
              <w:right w:val="nil"/>
            </w:tcBorders>
            <w:noWrap/>
            <w:vAlign w:val="bottom"/>
            <w:hideMark/>
          </w:tcPr>
          <w:p>
            <w:pPr>
              <w:spacing w:after="0" w:line="240" w:lineRule="auto"/>
              <w:ind w:right="-110"/>
              <w:jc w:val="right"/>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      26,460,592.63 </w:t>
            </w:r>
          </w:p>
        </w:tc>
        <w:tc>
          <w:tcPr>
            <w:tcW w:w="1211" w:type="dxa"/>
            <w:tcBorders>
              <w:top w:val="nil"/>
              <w:left w:val="nil"/>
              <w:bottom w:val="single" w:sz="4" w:space="0" w:color="auto"/>
              <w:right w:val="nil"/>
            </w:tcBorders>
            <w:noWrap/>
            <w:vAlign w:val="bottom"/>
            <w:hideMark/>
          </w:tcPr>
          <w:p>
            <w:pPr>
              <w:spacing w:after="0" w:line="240" w:lineRule="auto"/>
              <w:ind w:right="-110"/>
              <w:jc w:val="right"/>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    22,078,880.85 </w:t>
            </w:r>
          </w:p>
        </w:tc>
        <w:tc>
          <w:tcPr>
            <w:tcW w:w="1289" w:type="dxa"/>
            <w:tcBorders>
              <w:top w:val="nil"/>
              <w:left w:val="nil"/>
              <w:bottom w:val="single" w:sz="4" w:space="0" w:color="auto"/>
              <w:right w:val="nil"/>
            </w:tcBorders>
            <w:noWrap/>
            <w:vAlign w:val="bottom"/>
            <w:hideMark/>
          </w:tcPr>
          <w:p>
            <w:pPr>
              <w:spacing w:after="0" w:line="240" w:lineRule="auto"/>
              <w:ind w:right="-50"/>
              <w:jc w:val="right"/>
              <w:rPr>
                <w:rFonts w:ascii="Arial Narrow" w:hAnsi="Arial Narrow"/>
                <w:color w:val="000000" w:themeColor="text1"/>
                <w:sz w:val="18"/>
                <w:szCs w:val="18"/>
                <w:lang w:eastAsia="en-PH"/>
              </w:rPr>
            </w:pPr>
            <w:r>
              <w:rPr>
                <w:rFonts w:ascii="Arial Narrow" w:hAnsi="Arial Narrow"/>
                <w:color w:val="000000" w:themeColor="text1"/>
                <w:sz w:val="18"/>
                <w:szCs w:val="18"/>
                <w:lang w:eastAsia="en-PH"/>
              </w:rPr>
              <w:t xml:space="preserve">    78,746,952.11 </w:t>
            </w:r>
          </w:p>
        </w:tc>
      </w:tr>
      <w:tr>
        <w:trPr>
          <w:trHeight w:val="287"/>
        </w:trPr>
        <w:tc>
          <w:tcPr>
            <w:tcW w:w="2764" w:type="dxa"/>
            <w:gridSpan w:val="2"/>
            <w:tcBorders>
              <w:top w:val="single" w:sz="4" w:space="0" w:color="auto"/>
              <w:bottom w:val="double" w:sz="4" w:space="0" w:color="auto"/>
            </w:tcBorders>
            <w:noWrap/>
            <w:vAlign w:val="bottom"/>
            <w:hideMark/>
          </w:tcPr>
          <w:p>
            <w:pPr>
              <w:spacing w:after="0" w:line="240" w:lineRule="auto"/>
              <w:ind w:left="-110"/>
              <w:rPr>
                <w:rFonts w:ascii="Arial Narrow" w:eastAsia="Times New Roman" w:hAnsi="Arial Narrow" w:cs="Arial"/>
                <w:b/>
                <w:bCs/>
                <w:color w:val="000000" w:themeColor="text1"/>
                <w:sz w:val="18"/>
                <w:szCs w:val="18"/>
                <w:lang w:eastAsia="en-PH"/>
              </w:rPr>
            </w:pPr>
            <w:r>
              <w:rPr>
                <w:rFonts w:ascii="Arial Narrow" w:hAnsi="Arial Narrow"/>
                <w:b/>
                <w:bCs/>
                <w:color w:val="000000" w:themeColor="text1"/>
                <w:sz w:val="18"/>
                <w:szCs w:val="18"/>
                <w:lang w:eastAsia="en-PH"/>
              </w:rPr>
              <w:t xml:space="preserve">Total </w:t>
            </w:r>
          </w:p>
        </w:tc>
        <w:tc>
          <w:tcPr>
            <w:tcW w:w="1211" w:type="dxa"/>
            <w:tcBorders>
              <w:top w:val="single" w:sz="4" w:space="0" w:color="auto"/>
              <w:left w:val="nil"/>
              <w:bottom w:val="double" w:sz="4" w:space="0" w:color="auto"/>
              <w:right w:val="nil"/>
            </w:tcBorders>
            <w:noWrap/>
            <w:vAlign w:val="bottom"/>
            <w:hideMark/>
          </w:tcPr>
          <w:p>
            <w:pPr>
              <w:spacing w:after="0" w:line="240" w:lineRule="auto"/>
              <w:ind w:right="-110"/>
              <w:jc w:val="right"/>
              <w:rPr>
                <w:rFonts w:ascii="Arial Narrow" w:hAnsi="Arial Narrow"/>
                <w:b/>
                <w:bCs/>
                <w:color w:val="000000" w:themeColor="text1"/>
                <w:sz w:val="18"/>
                <w:szCs w:val="18"/>
                <w:lang w:eastAsia="en-PH"/>
              </w:rPr>
            </w:pPr>
            <w:r>
              <w:rPr>
                <w:rFonts w:ascii="Arial Narrow" w:hAnsi="Arial Narrow"/>
                <w:b/>
                <w:bCs/>
                <w:color w:val="000000" w:themeColor="text1"/>
                <w:sz w:val="18"/>
                <w:szCs w:val="18"/>
                <w:lang w:eastAsia="en-PH"/>
              </w:rPr>
              <w:t>P41,781,424.86</w:t>
            </w:r>
          </w:p>
        </w:tc>
        <w:tc>
          <w:tcPr>
            <w:tcW w:w="954" w:type="dxa"/>
            <w:tcBorders>
              <w:top w:val="single" w:sz="4" w:space="0" w:color="auto"/>
              <w:left w:val="nil"/>
              <w:bottom w:val="double" w:sz="4" w:space="0" w:color="auto"/>
              <w:right w:val="nil"/>
            </w:tcBorders>
            <w:noWrap/>
            <w:vAlign w:val="bottom"/>
            <w:hideMark/>
          </w:tcPr>
          <w:p>
            <w:pPr>
              <w:spacing w:after="0" w:line="240" w:lineRule="auto"/>
              <w:ind w:right="-110" w:hanging="68"/>
              <w:jc w:val="right"/>
              <w:rPr>
                <w:rFonts w:ascii="Arial Narrow" w:hAnsi="Arial Narrow"/>
                <w:b/>
                <w:bCs/>
                <w:color w:val="000000" w:themeColor="text1"/>
                <w:sz w:val="18"/>
                <w:szCs w:val="18"/>
                <w:lang w:eastAsia="en-PH"/>
              </w:rPr>
            </w:pPr>
            <w:r>
              <w:rPr>
                <w:rFonts w:ascii="Arial Narrow" w:hAnsi="Arial Narrow"/>
                <w:b/>
                <w:bCs/>
                <w:color w:val="000000" w:themeColor="text1"/>
                <w:sz w:val="18"/>
                <w:szCs w:val="18"/>
                <w:lang w:eastAsia="en-PH"/>
              </w:rPr>
              <w:t xml:space="preserve">P172,100.00 </w:t>
            </w:r>
          </w:p>
        </w:tc>
        <w:tc>
          <w:tcPr>
            <w:tcW w:w="1211" w:type="dxa"/>
            <w:tcBorders>
              <w:top w:val="single" w:sz="4" w:space="0" w:color="auto"/>
              <w:left w:val="nil"/>
              <w:bottom w:val="double" w:sz="4" w:space="0" w:color="auto"/>
              <w:right w:val="nil"/>
            </w:tcBorders>
            <w:noWrap/>
            <w:vAlign w:val="bottom"/>
            <w:hideMark/>
          </w:tcPr>
          <w:p>
            <w:pPr>
              <w:spacing w:after="0" w:line="240" w:lineRule="auto"/>
              <w:ind w:right="-110"/>
              <w:jc w:val="right"/>
              <w:rPr>
                <w:rFonts w:ascii="Arial Narrow" w:hAnsi="Arial Narrow"/>
                <w:b/>
                <w:bCs/>
                <w:color w:val="000000" w:themeColor="text1"/>
                <w:sz w:val="18"/>
                <w:szCs w:val="18"/>
                <w:lang w:eastAsia="en-PH"/>
              </w:rPr>
            </w:pPr>
            <w:r>
              <w:rPr>
                <w:rFonts w:ascii="Arial Narrow" w:hAnsi="Arial Narrow"/>
                <w:b/>
                <w:bCs/>
                <w:color w:val="000000" w:themeColor="text1"/>
                <w:sz w:val="18"/>
                <w:szCs w:val="18"/>
                <w:lang w:eastAsia="en-PH"/>
              </w:rPr>
              <w:t xml:space="preserve">P41,878,450.10 </w:t>
            </w:r>
          </w:p>
        </w:tc>
        <w:tc>
          <w:tcPr>
            <w:tcW w:w="1211" w:type="dxa"/>
            <w:tcBorders>
              <w:top w:val="single" w:sz="4" w:space="0" w:color="auto"/>
              <w:left w:val="nil"/>
              <w:bottom w:val="double" w:sz="4" w:space="0" w:color="auto"/>
              <w:right w:val="nil"/>
            </w:tcBorders>
            <w:noWrap/>
            <w:vAlign w:val="bottom"/>
            <w:hideMark/>
          </w:tcPr>
          <w:p>
            <w:pPr>
              <w:spacing w:after="0" w:line="240" w:lineRule="auto"/>
              <w:ind w:right="-110"/>
              <w:jc w:val="right"/>
              <w:rPr>
                <w:rFonts w:ascii="Arial Narrow" w:hAnsi="Arial Narrow"/>
                <w:b/>
                <w:bCs/>
                <w:color w:val="000000" w:themeColor="text1"/>
                <w:sz w:val="18"/>
                <w:szCs w:val="18"/>
                <w:lang w:eastAsia="en-PH"/>
              </w:rPr>
            </w:pPr>
            <w:r>
              <w:rPr>
                <w:rFonts w:ascii="Arial Narrow" w:hAnsi="Arial Narrow"/>
                <w:b/>
                <w:bCs/>
                <w:color w:val="000000" w:themeColor="text1"/>
                <w:sz w:val="18"/>
                <w:szCs w:val="18"/>
                <w:lang w:eastAsia="en-PH"/>
              </w:rPr>
              <w:t xml:space="preserve">P42,684,133.63 </w:t>
            </w:r>
          </w:p>
        </w:tc>
        <w:tc>
          <w:tcPr>
            <w:tcW w:w="1289" w:type="dxa"/>
            <w:tcBorders>
              <w:top w:val="single" w:sz="4" w:space="0" w:color="auto"/>
              <w:left w:val="nil"/>
              <w:bottom w:val="double" w:sz="4" w:space="0" w:color="auto"/>
              <w:right w:val="nil"/>
            </w:tcBorders>
            <w:noWrap/>
            <w:vAlign w:val="bottom"/>
            <w:hideMark/>
          </w:tcPr>
          <w:p>
            <w:pPr>
              <w:spacing w:after="0" w:line="240" w:lineRule="auto"/>
              <w:ind w:right="-50"/>
              <w:jc w:val="right"/>
              <w:rPr>
                <w:rFonts w:ascii="Arial Narrow" w:hAnsi="Arial Narrow"/>
                <w:b/>
                <w:bCs/>
                <w:color w:val="000000" w:themeColor="text1"/>
                <w:sz w:val="18"/>
                <w:szCs w:val="18"/>
                <w:lang w:eastAsia="en-PH"/>
              </w:rPr>
            </w:pPr>
            <w:r>
              <w:rPr>
                <w:rFonts w:ascii="Arial Narrow" w:hAnsi="Arial Narrow"/>
                <w:b/>
                <w:bCs/>
                <w:color w:val="000000" w:themeColor="text1"/>
                <w:sz w:val="18"/>
                <w:szCs w:val="18"/>
                <w:lang w:eastAsia="en-PH"/>
              </w:rPr>
              <w:t xml:space="preserve">P126,516,108.59 </w:t>
            </w:r>
          </w:p>
        </w:tc>
      </w:tr>
    </w:tbl>
    <w:p>
      <w:pPr>
        <w:spacing w:after="0" w:line="240" w:lineRule="auto"/>
        <w:rPr>
          <w:rFonts w:ascii="Arial" w:eastAsia="Calibri" w:hAnsi="Arial" w:cs="Arial"/>
          <w:b/>
        </w:rPr>
      </w:pPr>
    </w:p>
    <w:p>
      <w:pPr>
        <w:pStyle w:val="ListParagraph"/>
        <w:numPr>
          <w:ilvl w:val="1"/>
          <w:numId w:val="15"/>
        </w:numPr>
        <w:ind w:left="1418" w:hanging="709"/>
        <w:contextualSpacing/>
        <w:jc w:val="both"/>
        <w:rPr>
          <w:rFonts w:ascii="Arial" w:eastAsia="Calibri" w:hAnsi="Arial" w:cs="Arial"/>
          <w:b/>
          <w:sz w:val="22"/>
          <w:szCs w:val="22"/>
        </w:rPr>
      </w:pPr>
      <w:r>
        <w:rPr>
          <w:rFonts w:ascii="Arial" w:hAnsi="Arial" w:cs="Arial"/>
          <w:sz w:val="22"/>
          <w:szCs w:val="22"/>
        </w:rPr>
        <w:t>Considering that the above-stated payables in the total amount of P127.647 million [Head Office - P1.131 million + Branches – P126.516 million] had been outstanding for more than two (2) years without any formal claims from the creditors, the same may already be reverted back to the Retained Earnings in accordance with COA Circular No. 99-004 dated August 17, 1999.</w:t>
      </w:r>
    </w:p>
    <w:p>
      <w:pPr>
        <w:pStyle w:val="ListParagraph"/>
        <w:ind w:left="1440"/>
        <w:contextualSpacing/>
        <w:jc w:val="both"/>
        <w:rPr>
          <w:rFonts w:ascii="Arial" w:eastAsia="Calibri" w:hAnsi="Arial" w:cs="Arial"/>
          <w:b/>
          <w:sz w:val="22"/>
          <w:szCs w:val="22"/>
        </w:rPr>
      </w:pPr>
    </w:p>
    <w:p>
      <w:pPr>
        <w:pStyle w:val="ListParagraph"/>
        <w:numPr>
          <w:ilvl w:val="1"/>
          <w:numId w:val="15"/>
        </w:numPr>
        <w:ind w:left="1418" w:hanging="709"/>
        <w:contextualSpacing/>
        <w:jc w:val="both"/>
        <w:rPr>
          <w:rFonts w:ascii="Arial" w:eastAsia="Calibri" w:hAnsi="Arial" w:cs="Arial"/>
          <w:b/>
          <w:sz w:val="22"/>
          <w:szCs w:val="22"/>
        </w:rPr>
      </w:pPr>
      <w:r>
        <w:rPr>
          <w:rFonts w:ascii="Arial" w:hAnsi="Arial" w:cs="Arial"/>
          <w:sz w:val="22"/>
          <w:szCs w:val="22"/>
        </w:rPr>
        <w:t>Likewise, analysis of the AP-Miscellaneous account revealed that P2.195 billion out of the P6.976 billion balance as of December 31, 2020 pertained to payables that had been outstanding for two (2) years or more.  Considering the length of time that had elapsed, it appeared that no actual claims had been filed against the said payables, hence, may already be reverted back to the Retained Earnings pursuant to the above-mentioned COA Circular.</w:t>
      </w:r>
    </w:p>
    <w:p>
      <w:pPr>
        <w:pStyle w:val="Default"/>
        <w:jc w:val="both"/>
        <w:rPr>
          <w:color w:val="auto"/>
          <w:sz w:val="22"/>
          <w:szCs w:val="22"/>
        </w:rPr>
      </w:pPr>
    </w:p>
    <w:p>
      <w:pPr>
        <w:pStyle w:val="ListParagraph"/>
        <w:numPr>
          <w:ilvl w:val="1"/>
          <w:numId w:val="15"/>
        </w:numPr>
        <w:ind w:left="1418" w:hanging="709"/>
        <w:contextualSpacing/>
        <w:jc w:val="both"/>
        <w:rPr>
          <w:rFonts w:ascii="Arial" w:eastAsia="Calibri" w:hAnsi="Arial" w:cs="Arial"/>
          <w:b/>
          <w:sz w:val="22"/>
          <w:szCs w:val="22"/>
        </w:rPr>
      </w:pPr>
      <w:r>
        <w:rPr>
          <w:rFonts w:ascii="Arial" w:eastAsia="Calibri" w:hAnsi="Arial" w:cs="Arial"/>
          <w:b/>
          <w:sz w:val="22"/>
          <w:szCs w:val="22"/>
        </w:rPr>
        <w:t xml:space="preserve">We recommended </w:t>
      </w:r>
      <w:r>
        <w:rPr>
          <w:rFonts w:ascii="Arial" w:hAnsi="Arial" w:cs="Arial"/>
          <w:b/>
          <w:sz w:val="22"/>
          <w:szCs w:val="22"/>
        </w:rPr>
        <w:t>that Management instruct the ABD to evaluate  thoroughly the validity of the VP-CF and AP-Miscellaneous accounts in the amounts of P127.647 million and P2.195 billion, respectively, which remained  outstanding for more than two years, against which no actual claims had been filed and, if found not valid, revert the amount to the Retained Earnings account.</w:t>
      </w:r>
    </w:p>
    <w:p>
      <w:pPr>
        <w:pStyle w:val="ListParagraph"/>
        <w:rPr>
          <w:rFonts w:ascii="Arial" w:eastAsia="Calibri" w:hAnsi="Arial" w:cs="Arial"/>
          <w:b/>
          <w:sz w:val="22"/>
          <w:szCs w:val="22"/>
        </w:rPr>
      </w:pPr>
    </w:p>
    <w:p>
      <w:pPr>
        <w:pStyle w:val="ListParagraph"/>
        <w:numPr>
          <w:ilvl w:val="1"/>
          <w:numId w:val="15"/>
        </w:numPr>
        <w:ind w:left="1418" w:hanging="709"/>
        <w:contextualSpacing/>
        <w:jc w:val="both"/>
        <w:rPr>
          <w:rFonts w:ascii="Arial" w:eastAsia="Calibri" w:hAnsi="Arial" w:cs="Arial"/>
          <w:sz w:val="22"/>
          <w:szCs w:val="22"/>
        </w:rPr>
      </w:pPr>
      <w:r>
        <w:rPr>
          <w:rFonts w:ascii="Arial" w:eastAsia="Calibri" w:hAnsi="Arial" w:cs="Arial"/>
          <w:sz w:val="22"/>
          <w:szCs w:val="22"/>
        </w:rPr>
        <w:t xml:space="preserve">Management explained that they are conducting </w:t>
      </w:r>
      <w:r>
        <w:rPr>
          <w:rFonts w:ascii="Arial" w:hAnsi="Arial" w:cs="Arial"/>
          <w:sz w:val="22"/>
          <w:szCs w:val="22"/>
        </w:rPr>
        <w:t xml:space="preserve">thorough evaluation of the long-outstanding payables so that proper disposition thereof shall be submitted for the approval of the Board.  </w:t>
      </w:r>
    </w:p>
    <w:p>
      <w:pPr>
        <w:contextualSpacing/>
        <w:jc w:val="both"/>
        <w:rPr>
          <w:rFonts w:ascii="Arial" w:eastAsia="Calibri" w:hAnsi="Arial" w:cs="Arial"/>
        </w:rPr>
      </w:pPr>
    </w:p>
    <w:p>
      <w:pPr>
        <w:pStyle w:val="ListParagraph"/>
        <w:numPr>
          <w:ilvl w:val="0"/>
          <w:numId w:val="1"/>
        </w:numPr>
        <w:ind w:left="709" w:hanging="697"/>
        <w:jc w:val="both"/>
        <w:rPr>
          <w:rFonts w:ascii="Arial" w:hAnsi="Arial" w:cs="Arial"/>
          <w:b/>
          <w:bCs/>
          <w:iCs/>
          <w:color w:val="000000" w:themeColor="text1"/>
          <w:sz w:val="22"/>
          <w:szCs w:val="22"/>
        </w:rPr>
      </w:pPr>
      <w:r>
        <w:rPr>
          <w:rFonts w:ascii="Arial" w:hAnsi="Arial" w:cs="Arial"/>
          <w:b/>
          <w:bCs/>
          <w:iCs/>
          <w:color w:val="000000" w:themeColor="text1"/>
          <w:sz w:val="22"/>
          <w:szCs w:val="22"/>
        </w:rPr>
        <w:t>The faithful representation in the financial statements of the balance of the Receivables - Accounts Receivable (AR) account with carrying amount of P6.297 billion as of December 31, 2020 cannot be ascertained in view of: (a) f</w:t>
      </w:r>
      <w:r>
        <w:rPr>
          <w:rFonts w:ascii="Arial" w:hAnsi="Arial" w:cs="Arial"/>
          <w:b/>
          <w:color w:val="000000" w:themeColor="text1"/>
          <w:sz w:val="22"/>
          <w:szCs w:val="22"/>
          <w:lang w:val="en-PH" w:eastAsia="ar-SA"/>
        </w:rPr>
        <w:t xml:space="preserve">our (4) AR sub-accounts for the National Capital Region (NCR) had abnormal (credit) GL balances totaling P578.541 million; (b) balances between the GL and the submitted Aging of AR account had discrepancies of P97.285 million; and (c) four (4) AR sub-accounts totaling P47.467 million were not properly supported with complete SLs and schedules, </w:t>
      </w:r>
      <w:r>
        <w:rPr>
          <w:rFonts w:ascii="Arial" w:hAnsi="Arial" w:cs="Arial"/>
          <w:b/>
          <w:bCs/>
          <w:iCs/>
          <w:color w:val="000000" w:themeColor="text1"/>
          <w:sz w:val="22"/>
          <w:szCs w:val="22"/>
        </w:rPr>
        <w:t xml:space="preserve">contrary to </w:t>
      </w:r>
      <w:r>
        <w:rPr>
          <w:rFonts w:ascii="Arial" w:hAnsi="Arial" w:cs="Arial"/>
          <w:b/>
          <w:color w:val="000000" w:themeColor="text1"/>
          <w:sz w:val="22"/>
          <w:szCs w:val="22"/>
        </w:rPr>
        <w:t xml:space="preserve">Paragraph 15 of PAS 1 and </w:t>
      </w:r>
      <w:r>
        <w:rPr>
          <w:rFonts w:ascii="Arial" w:eastAsiaTheme="minorHAnsi" w:hAnsi="Arial" w:cs="Arial"/>
          <w:b/>
          <w:iCs/>
          <w:color w:val="000000" w:themeColor="text1"/>
          <w:sz w:val="22"/>
          <w:szCs w:val="22"/>
        </w:rPr>
        <w:t xml:space="preserve">QC26 of </w:t>
      </w:r>
      <w:r>
        <w:rPr>
          <w:rFonts w:ascii="Arial" w:hAnsi="Arial" w:cs="Arial"/>
          <w:b/>
          <w:bCs/>
          <w:color w:val="000000" w:themeColor="text1"/>
          <w:sz w:val="22"/>
          <w:szCs w:val="22"/>
        </w:rPr>
        <w:t>CFGPFR</w:t>
      </w:r>
      <w:r>
        <w:rPr>
          <w:rFonts w:ascii="Arial" w:hAnsi="Arial" w:cs="Arial"/>
          <w:b/>
          <w:color w:val="000000" w:themeColor="text1"/>
          <w:sz w:val="22"/>
          <w:szCs w:val="22"/>
        </w:rPr>
        <w:t>.</w:t>
      </w:r>
      <w:r>
        <w:rPr>
          <w:rFonts w:ascii="Arial" w:hAnsi="Arial" w:cs="Arial"/>
          <w:b/>
          <w:bCs/>
          <w:iCs/>
          <w:color w:val="000000" w:themeColor="text1"/>
          <w:sz w:val="22"/>
          <w:szCs w:val="22"/>
        </w:rPr>
        <w:t xml:space="preserve"> </w:t>
      </w:r>
    </w:p>
    <w:p>
      <w:pPr>
        <w:pStyle w:val="ListParagraph"/>
        <w:jc w:val="both"/>
        <w:rPr>
          <w:rFonts w:ascii="Arial" w:hAnsi="Arial" w:cs="Arial"/>
          <w:b/>
          <w:sz w:val="22"/>
          <w:szCs w:val="22"/>
        </w:rPr>
      </w:pPr>
    </w:p>
    <w:p>
      <w:pPr>
        <w:pStyle w:val="ListParagraph"/>
        <w:numPr>
          <w:ilvl w:val="1"/>
          <w:numId w:val="16"/>
        </w:numPr>
        <w:ind w:left="1418" w:hanging="709"/>
        <w:jc w:val="both"/>
        <w:rPr>
          <w:rFonts w:ascii="Arial" w:hAnsi="Arial" w:cs="Arial"/>
          <w:b/>
          <w:sz w:val="22"/>
          <w:szCs w:val="22"/>
        </w:rPr>
      </w:pPr>
      <w:r>
        <w:rPr>
          <w:rFonts w:ascii="Arial" w:hAnsi="Arial" w:cs="Arial"/>
          <w:sz w:val="22"/>
          <w:szCs w:val="22"/>
        </w:rPr>
        <w:t>Paragraph 15 of PAS 1 provides:</w:t>
      </w:r>
    </w:p>
    <w:p>
      <w:pPr>
        <w:pStyle w:val="ListParagraph"/>
        <w:ind w:left="1440" w:hanging="720"/>
        <w:jc w:val="both"/>
        <w:rPr>
          <w:rFonts w:ascii="Arial" w:hAnsi="Arial" w:cs="Arial"/>
          <w:b/>
          <w:sz w:val="22"/>
          <w:szCs w:val="22"/>
        </w:rPr>
      </w:pPr>
    </w:p>
    <w:p>
      <w:pPr>
        <w:pStyle w:val="ListParagraph"/>
        <w:ind w:left="1985" w:right="702"/>
        <w:jc w:val="both"/>
        <w:rPr>
          <w:rFonts w:ascii="Arial" w:hAnsi="Arial" w:cs="Arial"/>
          <w:i/>
          <w:color w:val="000000" w:themeColor="text1"/>
          <w:sz w:val="22"/>
          <w:szCs w:val="22"/>
        </w:rPr>
      </w:pPr>
      <w:r>
        <w:rPr>
          <w:rFonts w:ascii="Arial" w:hAnsi="Arial" w:cs="Arial"/>
          <w:i/>
          <w:color w:val="000000" w:themeColor="text1"/>
          <w:sz w:val="22"/>
          <w:szCs w:val="22"/>
        </w:rPr>
        <w:t xml:space="preserve">Financial statements shall present fairly the financial position, financial performance &amp; cash flows of an entity. Fair presentation requires the faithful representation of the effects </w:t>
      </w:r>
      <w:r>
        <w:rPr>
          <w:rFonts w:ascii="Arial" w:hAnsi="Arial" w:cs="Arial"/>
          <w:i/>
          <w:color w:val="000000" w:themeColor="text1"/>
          <w:sz w:val="22"/>
          <w:szCs w:val="22"/>
        </w:rPr>
        <w:lastRenderedPageBreak/>
        <w:t>of transactions, other events &amp; conditions in accordance with the definitions and recognition criteria for assets, liabilities, income and expenses set out in the Framework. xxx.</w:t>
      </w:r>
    </w:p>
    <w:p>
      <w:pPr>
        <w:pStyle w:val="ListParagraph"/>
        <w:ind w:left="1710" w:right="702"/>
        <w:jc w:val="both"/>
        <w:rPr>
          <w:rFonts w:ascii="Arial" w:hAnsi="Arial" w:cs="Arial"/>
          <w:i/>
          <w:sz w:val="22"/>
          <w:szCs w:val="22"/>
        </w:rPr>
      </w:pPr>
    </w:p>
    <w:p>
      <w:pPr>
        <w:pStyle w:val="ListParagraph"/>
        <w:numPr>
          <w:ilvl w:val="1"/>
          <w:numId w:val="16"/>
        </w:numPr>
        <w:ind w:left="1418" w:hanging="709"/>
        <w:jc w:val="both"/>
        <w:rPr>
          <w:rFonts w:ascii="Arial" w:hAnsi="Arial" w:cs="Arial"/>
          <w:i/>
          <w:color w:val="000000" w:themeColor="text1"/>
          <w:sz w:val="22"/>
          <w:szCs w:val="22"/>
        </w:rPr>
      </w:pPr>
      <w:r>
        <w:rPr>
          <w:rFonts w:ascii="Arial" w:hAnsi="Arial" w:cs="Arial"/>
          <w:color w:val="000000" w:themeColor="text1"/>
          <w:sz w:val="22"/>
          <w:szCs w:val="22"/>
          <w:lang w:val="en-PH" w:eastAsia="ar-SA"/>
        </w:rPr>
        <w:t xml:space="preserve">Audit of the Receivables – AR account </w:t>
      </w:r>
      <w:r>
        <w:rPr>
          <w:rFonts w:ascii="Arial" w:hAnsi="Arial" w:cs="Arial"/>
          <w:bCs/>
          <w:iCs/>
          <w:color w:val="000000" w:themeColor="text1"/>
          <w:sz w:val="22"/>
          <w:szCs w:val="22"/>
        </w:rPr>
        <w:t>with carrying amount of P6.297 billion as of December 31, 2020</w:t>
      </w:r>
      <w:r>
        <w:rPr>
          <w:rFonts w:ascii="Arial" w:hAnsi="Arial" w:cs="Arial"/>
          <w:color w:val="000000" w:themeColor="text1"/>
          <w:sz w:val="22"/>
          <w:szCs w:val="22"/>
          <w:lang w:val="en-PH" w:eastAsia="ar-SA"/>
        </w:rPr>
        <w:t xml:space="preserve">  revealed several deficiencies presented below which cast doubt on the fair presentation of the account in the financial statements at year-end.</w:t>
      </w:r>
    </w:p>
    <w:p>
      <w:pPr>
        <w:pStyle w:val="ListParagraph"/>
        <w:ind w:right="3031"/>
        <w:jc w:val="both"/>
        <w:rPr>
          <w:rFonts w:ascii="Arial" w:hAnsi="Arial" w:cs="Arial"/>
          <w:i/>
          <w:iCs/>
          <w:sz w:val="22"/>
          <w:szCs w:val="22"/>
          <w:lang w:val="en-PH" w:eastAsia="ar-SA"/>
        </w:rPr>
      </w:pPr>
    </w:p>
    <w:p>
      <w:pPr>
        <w:pStyle w:val="ListParagraph"/>
        <w:ind w:left="709" w:right="2970"/>
        <w:jc w:val="both"/>
        <w:rPr>
          <w:rFonts w:ascii="Arial" w:hAnsi="Arial" w:cs="Arial"/>
          <w:i/>
          <w:color w:val="000000" w:themeColor="text1"/>
          <w:sz w:val="22"/>
          <w:szCs w:val="22"/>
          <w:lang w:val="en-PH" w:eastAsia="ar-SA"/>
        </w:rPr>
      </w:pPr>
      <w:r>
        <w:rPr>
          <w:rFonts w:ascii="Arial" w:hAnsi="Arial" w:cs="Arial"/>
          <w:i/>
          <w:color w:val="000000" w:themeColor="text1"/>
          <w:sz w:val="22"/>
          <w:szCs w:val="22"/>
          <w:lang w:val="en-PH" w:eastAsia="ar-SA"/>
        </w:rPr>
        <w:t>Four (4) AR sub-accounts for the NCR had abnormal (credit) GL balances totaling                 P578.541 million</w:t>
      </w:r>
    </w:p>
    <w:p>
      <w:pPr>
        <w:pStyle w:val="ListParagraph"/>
        <w:ind w:left="1440"/>
        <w:jc w:val="both"/>
        <w:rPr>
          <w:rFonts w:ascii="Arial" w:hAnsi="Arial" w:cs="Arial"/>
          <w:i/>
          <w:sz w:val="22"/>
          <w:szCs w:val="22"/>
        </w:rPr>
      </w:pPr>
    </w:p>
    <w:p>
      <w:pPr>
        <w:pStyle w:val="ListParagraph"/>
        <w:numPr>
          <w:ilvl w:val="1"/>
          <w:numId w:val="16"/>
        </w:numPr>
        <w:ind w:left="1418" w:hanging="709"/>
        <w:jc w:val="both"/>
        <w:rPr>
          <w:rFonts w:ascii="Arial" w:hAnsi="Arial" w:cs="Arial"/>
          <w:i/>
          <w:sz w:val="22"/>
          <w:szCs w:val="22"/>
        </w:rPr>
      </w:pPr>
      <w:r>
        <w:rPr>
          <w:rFonts w:ascii="Arial" w:hAnsi="Arial" w:cs="Arial"/>
          <w:sz w:val="22"/>
          <w:szCs w:val="22"/>
        </w:rPr>
        <w:t xml:space="preserve">Review of the AR account disclosed that there were four (4) sub-accounts for NCR that have abnormal (credit) balances per GL, details shown in              Table 3. </w:t>
      </w:r>
    </w:p>
    <w:p>
      <w:pPr>
        <w:pStyle w:val="ListParagraph"/>
        <w:ind w:left="1440"/>
        <w:jc w:val="both"/>
        <w:rPr>
          <w:rFonts w:ascii="Arial" w:hAnsi="Arial" w:cs="Arial"/>
          <w:i/>
          <w:sz w:val="22"/>
          <w:szCs w:val="22"/>
        </w:rPr>
      </w:pPr>
    </w:p>
    <w:p>
      <w:pPr>
        <w:pStyle w:val="ListParagraph"/>
        <w:jc w:val="center"/>
        <w:rPr>
          <w:rFonts w:ascii="Arial" w:hAnsi="Arial" w:cs="Arial"/>
          <w:b/>
          <w:sz w:val="20"/>
          <w:szCs w:val="20"/>
        </w:rPr>
      </w:pPr>
      <w:r>
        <w:rPr>
          <w:rFonts w:ascii="Arial" w:hAnsi="Arial" w:cs="Arial"/>
          <w:b/>
          <w:sz w:val="20"/>
          <w:szCs w:val="20"/>
        </w:rPr>
        <w:t>Table 3 - AR Sub-accounts with Abnormal Balances</w:t>
      </w:r>
    </w:p>
    <w:p>
      <w:pPr>
        <w:pStyle w:val="ListParagraph"/>
        <w:ind w:left="1440"/>
        <w:jc w:val="center"/>
        <w:rPr>
          <w:rFonts w:ascii="Arial" w:hAnsi="Arial" w:cs="Arial"/>
          <w:b/>
          <w:sz w:val="20"/>
          <w:szCs w:val="20"/>
        </w:rPr>
      </w:pPr>
    </w:p>
    <w:tbl>
      <w:tblPr>
        <w:tblStyle w:val="TableGrid"/>
        <w:tblW w:w="783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2880"/>
        <w:gridCol w:w="2070"/>
      </w:tblGrid>
      <w:tr>
        <w:trPr>
          <w:trHeight w:val="437"/>
          <w:tblHeader/>
        </w:trPr>
        <w:tc>
          <w:tcPr>
            <w:tcW w:w="2880" w:type="dxa"/>
            <w:tcBorders>
              <w:top w:val="single" w:sz="4" w:space="0" w:color="auto"/>
              <w:bottom w:val="single" w:sz="4" w:space="0" w:color="auto"/>
            </w:tcBorders>
            <w:vAlign w:val="bottom"/>
          </w:tcPr>
          <w:p>
            <w:pPr>
              <w:ind w:left="-110"/>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Account Name</w:t>
            </w:r>
          </w:p>
        </w:tc>
        <w:tc>
          <w:tcPr>
            <w:tcW w:w="2880" w:type="dxa"/>
            <w:tcBorders>
              <w:top w:val="single" w:sz="4" w:space="0" w:color="auto"/>
              <w:bottom w:val="single" w:sz="4" w:space="0" w:color="auto"/>
            </w:tcBorders>
            <w:vAlign w:val="bottom"/>
          </w:tcPr>
          <w:p>
            <w:pPr>
              <w:ind w:left="-110"/>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Account Code</w:t>
            </w:r>
          </w:p>
        </w:tc>
        <w:tc>
          <w:tcPr>
            <w:tcW w:w="2070" w:type="dxa"/>
            <w:tcBorders>
              <w:top w:val="single" w:sz="4" w:space="0" w:color="auto"/>
              <w:bottom w:val="single" w:sz="4" w:space="0" w:color="auto"/>
            </w:tcBorders>
            <w:vAlign w:val="bottom"/>
          </w:tcPr>
          <w:p>
            <w:pPr>
              <w:ind w:right="-110"/>
              <w:jc w:val="right"/>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Balances as of December 31, 2020</w:t>
            </w:r>
          </w:p>
        </w:tc>
      </w:tr>
      <w:tr>
        <w:trPr>
          <w:trHeight w:val="188"/>
        </w:trPr>
        <w:tc>
          <w:tcPr>
            <w:tcW w:w="2880" w:type="dxa"/>
            <w:tcBorders>
              <w:top w:val="single" w:sz="4" w:space="0" w:color="auto"/>
            </w:tcBorders>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Mini Sweepstakes</w:t>
            </w:r>
          </w:p>
        </w:tc>
        <w:tc>
          <w:tcPr>
            <w:tcW w:w="2880" w:type="dxa"/>
            <w:tcBorders>
              <w:top w:val="single" w:sz="4" w:space="0" w:color="auto"/>
            </w:tcBorders>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10301010-00-001-000001</w:t>
            </w:r>
          </w:p>
        </w:tc>
        <w:tc>
          <w:tcPr>
            <w:tcW w:w="2070" w:type="dxa"/>
            <w:tcBorders>
              <w:top w:val="single" w:sz="4" w:space="0" w:color="auto"/>
            </w:tcBorders>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P    (1,580,823.10)</w:t>
            </w:r>
          </w:p>
        </w:tc>
      </w:tr>
      <w:tr>
        <w:trPr>
          <w:trHeight w:val="210"/>
        </w:trPr>
        <w:tc>
          <w:tcPr>
            <w:tcW w:w="2880" w:type="dxa"/>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Sales Supervisor</w:t>
            </w:r>
          </w:p>
        </w:tc>
        <w:tc>
          <w:tcPr>
            <w:tcW w:w="2880" w:type="dxa"/>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10301010-00-001-000007</w:t>
            </w:r>
          </w:p>
        </w:tc>
        <w:tc>
          <w:tcPr>
            <w:tcW w:w="2070" w:type="dxa"/>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(76,181.54)</w:t>
            </w:r>
          </w:p>
        </w:tc>
      </w:tr>
      <w:tr>
        <w:trPr>
          <w:trHeight w:val="226"/>
        </w:trPr>
        <w:tc>
          <w:tcPr>
            <w:tcW w:w="2880" w:type="dxa"/>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 STL</w:t>
            </w:r>
          </w:p>
        </w:tc>
        <w:tc>
          <w:tcPr>
            <w:tcW w:w="2880" w:type="dxa"/>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10301010-00-004-000001</w:t>
            </w:r>
          </w:p>
        </w:tc>
        <w:tc>
          <w:tcPr>
            <w:tcW w:w="2070" w:type="dxa"/>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(550,303,376.60)</w:t>
            </w:r>
          </w:p>
        </w:tc>
      </w:tr>
      <w:tr>
        <w:trPr>
          <w:trHeight w:val="137"/>
        </w:trPr>
        <w:tc>
          <w:tcPr>
            <w:tcW w:w="2880" w:type="dxa"/>
            <w:tcBorders>
              <w:bottom w:val="single" w:sz="4" w:space="0" w:color="auto"/>
            </w:tcBorders>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Peryahan</w:t>
            </w:r>
          </w:p>
        </w:tc>
        <w:tc>
          <w:tcPr>
            <w:tcW w:w="2880" w:type="dxa"/>
            <w:tcBorders>
              <w:bottom w:val="single" w:sz="4" w:space="0" w:color="auto"/>
            </w:tcBorders>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10301010-00-005-000001</w:t>
            </w:r>
          </w:p>
        </w:tc>
        <w:tc>
          <w:tcPr>
            <w:tcW w:w="2070" w:type="dxa"/>
            <w:tcBorders>
              <w:bottom w:val="single" w:sz="4" w:space="0" w:color="auto"/>
            </w:tcBorders>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(26,581,132.37)</w:t>
            </w:r>
          </w:p>
        </w:tc>
      </w:tr>
      <w:tr>
        <w:trPr>
          <w:trHeight w:val="210"/>
        </w:trPr>
        <w:tc>
          <w:tcPr>
            <w:tcW w:w="5760" w:type="dxa"/>
            <w:gridSpan w:val="2"/>
            <w:tcBorders>
              <w:top w:val="single" w:sz="4" w:space="0" w:color="auto"/>
              <w:bottom w:val="double" w:sz="4" w:space="0" w:color="auto"/>
            </w:tcBorders>
          </w:tcPr>
          <w:p>
            <w:pPr>
              <w:ind w:left="-110"/>
              <w:jc w:val="both"/>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Total</w:t>
            </w:r>
          </w:p>
        </w:tc>
        <w:tc>
          <w:tcPr>
            <w:tcW w:w="2070" w:type="dxa"/>
            <w:tcBorders>
              <w:top w:val="single" w:sz="4" w:space="0" w:color="auto"/>
              <w:bottom w:val="double" w:sz="4" w:space="0" w:color="auto"/>
            </w:tcBorders>
          </w:tcPr>
          <w:p>
            <w:pPr>
              <w:ind w:right="-110"/>
              <w:jc w:val="right"/>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P(578,541,513.61)</w:t>
            </w:r>
          </w:p>
        </w:tc>
      </w:tr>
    </w:tbl>
    <w:p>
      <w:pPr>
        <w:pStyle w:val="ListParagraph"/>
        <w:rPr>
          <w:rFonts w:ascii="Arial" w:hAnsi="Arial" w:cs="Arial"/>
          <w:i/>
          <w:sz w:val="22"/>
          <w:szCs w:val="22"/>
        </w:rPr>
      </w:pPr>
    </w:p>
    <w:p>
      <w:pPr>
        <w:pStyle w:val="ListParagraph"/>
        <w:numPr>
          <w:ilvl w:val="1"/>
          <w:numId w:val="16"/>
        </w:numPr>
        <w:ind w:left="1418" w:hanging="709"/>
        <w:jc w:val="both"/>
        <w:rPr>
          <w:rFonts w:ascii="Arial" w:hAnsi="Arial" w:cs="Arial"/>
          <w:i/>
          <w:sz w:val="22"/>
          <w:szCs w:val="22"/>
        </w:rPr>
      </w:pPr>
      <w:r>
        <w:rPr>
          <w:rFonts w:ascii="Arial" w:hAnsi="Arial" w:cs="Arial"/>
          <w:sz w:val="22"/>
          <w:szCs w:val="22"/>
          <w:lang w:eastAsia="ar-SA"/>
        </w:rPr>
        <w:t>The concerned ABD personnel informed that the abnormal balances of the subject NCR accounts were due to prior years’ errors in the posting of transactions that remained unreconciled and unadjusted as of December 31, 2020.  Considering the length of time that has elapsed, it appeared that all efforts need to be exerted in order to determine the cause/s of the subject abnormal balances</w:t>
      </w:r>
      <w:r>
        <w:rPr>
          <w:rFonts w:ascii="Arial" w:hAnsi="Arial" w:cs="Arial"/>
          <w:sz w:val="22"/>
          <w:szCs w:val="22"/>
        </w:rPr>
        <w:t>.</w:t>
      </w:r>
    </w:p>
    <w:p>
      <w:pPr>
        <w:pStyle w:val="ListParagraph"/>
        <w:ind w:left="1440"/>
        <w:jc w:val="both"/>
        <w:rPr>
          <w:rFonts w:ascii="Arial" w:hAnsi="Arial" w:cs="Arial"/>
          <w:i/>
          <w:sz w:val="22"/>
          <w:szCs w:val="22"/>
        </w:rPr>
      </w:pPr>
    </w:p>
    <w:p>
      <w:pPr>
        <w:pStyle w:val="ListParagraph"/>
        <w:numPr>
          <w:ilvl w:val="1"/>
          <w:numId w:val="16"/>
        </w:numPr>
        <w:ind w:left="1418" w:hanging="709"/>
        <w:jc w:val="both"/>
        <w:rPr>
          <w:rFonts w:ascii="Arial" w:hAnsi="Arial" w:cs="Arial"/>
          <w:i/>
          <w:color w:val="000000" w:themeColor="text1"/>
          <w:sz w:val="22"/>
          <w:szCs w:val="22"/>
        </w:rPr>
      </w:pPr>
      <w:r>
        <w:rPr>
          <w:rFonts w:ascii="Arial" w:hAnsi="Arial" w:cs="Arial"/>
          <w:b/>
          <w:color w:val="000000" w:themeColor="text1"/>
          <w:sz w:val="22"/>
          <w:szCs w:val="22"/>
        </w:rPr>
        <w:t xml:space="preserve">We recommended </w:t>
      </w:r>
      <w:r>
        <w:rPr>
          <w:rFonts w:ascii="Arial" w:hAnsi="Arial" w:cs="Arial"/>
          <w:b/>
          <w:color w:val="000000" w:themeColor="text1"/>
          <w:sz w:val="22"/>
          <w:szCs w:val="22"/>
          <w:lang w:val="en-PH" w:eastAsia="ar-SA"/>
        </w:rPr>
        <w:t xml:space="preserve">that Management require the concerned ABD personnel to conduct thorough evaluation/analysis of the transactions relating to the receivable accounts with abnormal (credit) balances to determine the cause/s thereof and to effect the necessary adjusting entries to fairly present the balance of the AR in the financial statements. </w:t>
      </w:r>
    </w:p>
    <w:p>
      <w:pPr>
        <w:pStyle w:val="ListParagraph"/>
        <w:ind w:left="1800"/>
        <w:jc w:val="both"/>
        <w:rPr>
          <w:rFonts w:ascii="Arial" w:hAnsi="Arial" w:cs="Arial"/>
          <w:i/>
          <w:sz w:val="22"/>
          <w:szCs w:val="22"/>
        </w:rPr>
      </w:pPr>
    </w:p>
    <w:p>
      <w:pPr>
        <w:pStyle w:val="ListParagraph"/>
        <w:numPr>
          <w:ilvl w:val="1"/>
          <w:numId w:val="16"/>
        </w:numPr>
        <w:ind w:left="1418" w:hanging="709"/>
        <w:jc w:val="both"/>
        <w:rPr>
          <w:rFonts w:ascii="Arial" w:hAnsi="Arial" w:cs="Arial"/>
          <w:color w:val="000000" w:themeColor="text1"/>
          <w:sz w:val="22"/>
          <w:szCs w:val="22"/>
        </w:rPr>
      </w:pPr>
      <w:r>
        <w:rPr>
          <w:rFonts w:ascii="Arial" w:hAnsi="Arial" w:cs="Arial"/>
          <w:color w:val="000000" w:themeColor="text1"/>
          <w:sz w:val="22"/>
          <w:szCs w:val="22"/>
          <w:lang w:val="en-PH"/>
        </w:rPr>
        <w:t xml:space="preserve">Management explained that the negative balances of the AR-STL are subject to further verification/reconciliation/analysis.  </w:t>
      </w:r>
      <w:r>
        <w:rPr>
          <w:rFonts w:ascii="Arial" w:hAnsi="Arial" w:cs="Arial"/>
          <w:color w:val="000000" w:themeColor="text1"/>
          <w:sz w:val="22"/>
          <w:szCs w:val="22"/>
        </w:rPr>
        <w:t>Likewise, in the case of the abnormal balances of the AR-Peryahan, these were</w:t>
      </w:r>
      <w:r>
        <w:rPr>
          <w:rFonts w:ascii="Arial" w:hAnsi="Arial" w:cs="Arial"/>
          <w:color w:val="000000" w:themeColor="text1"/>
          <w:sz w:val="22"/>
          <w:szCs w:val="22"/>
          <w:lang w:val="en-PH"/>
        </w:rPr>
        <w:t xml:space="preserve"> caused by the overpayments made by the Peryahan proponent which was credited to the A/R account.  Eight branches including the NCR have negative SL balances because of overpayment.  However, these balances were not reflected in the submitted Aging Schedule (which was the reference used by the COA) because all remittances by the Peryahan proponent went directly to the Head Office account. </w:t>
      </w:r>
      <w:r>
        <w:rPr>
          <w:rFonts w:ascii="Arial" w:hAnsi="Arial" w:cs="Arial"/>
          <w:color w:val="000000" w:themeColor="text1"/>
          <w:sz w:val="22"/>
          <w:szCs w:val="22"/>
        </w:rPr>
        <w:t xml:space="preserve">Moreover, </w:t>
      </w:r>
      <w:r>
        <w:rPr>
          <w:rFonts w:ascii="Arial" w:hAnsi="Arial" w:cs="Arial"/>
          <w:color w:val="000000" w:themeColor="text1"/>
          <w:sz w:val="22"/>
          <w:szCs w:val="22"/>
          <w:lang w:val="en-PH"/>
        </w:rPr>
        <w:t xml:space="preserve">the ABD has been directed to intensify its efforts in determining the causes of the abnormal balances of the AR </w:t>
      </w:r>
      <w:r>
        <w:rPr>
          <w:rFonts w:ascii="Arial" w:hAnsi="Arial" w:cs="Arial"/>
          <w:color w:val="000000" w:themeColor="text1"/>
          <w:sz w:val="22"/>
          <w:szCs w:val="22"/>
          <w:lang w:val="en-PH"/>
        </w:rPr>
        <w:lastRenderedPageBreak/>
        <w:t>account and, after thorough validation, effect the necessary adjustments to correct the errors.</w:t>
      </w:r>
    </w:p>
    <w:p>
      <w:pPr>
        <w:spacing w:after="0" w:line="240" w:lineRule="auto"/>
        <w:jc w:val="both"/>
        <w:rPr>
          <w:rFonts w:ascii="Arial" w:hAnsi="Arial" w:cs="Arial"/>
        </w:rPr>
      </w:pPr>
    </w:p>
    <w:p>
      <w:pPr>
        <w:pStyle w:val="ListParagraph"/>
        <w:ind w:right="3031"/>
        <w:jc w:val="both"/>
        <w:rPr>
          <w:rFonts w:ascii="Arial" w:hAnsi="Arial" w:cs="Arial"/>
          <w:i/>
          <w:sz w:val="22"/>
          <w:szCs w:val="22"/>
          <w:lang w:val="en-PH" w:eastAsia="ar-SA"/>
        </w:rPr>
      </w:pPr>
      <w:r>
        <w:rPr>
          <w:rFonts w:ascii="Arial" w:hAnsi="Arial" w:cs="Arial"/>
          <w:i/>
          <w:sz w:val="22"/>
          <w:szCs w:val="22"/>
          <w:lang w:val="en-PH" w:eastAsia="ar-SA"/>
        </w:rPr>
        <w:t>Balances between the GL and the submitted Aging of AR account had discrepancies of P97.285 million</w:t>
      </w:r>
    </w:p>
    <w:p>
      <w:pPr>
        <w:pStyle w:val="ListParagraph"/>
        <w:ind w:right="3031"/>
        <w:jc w:val="both"/>
        <w:rPr>
          <w:rFonts w:ascii="Arial" w:hAnsi="Arial" w:cs="Arial"/>
          <w:i/>
          <w:sz w:val="22"/>
          <w:szCs w:val="22"/>
        </w:rPr>
      </w:pPr>
    </w:p>
    <w:p>
      <w:pPr>
        <w:pStyle w:val="ListParagraph"/>
        <w:numPr>
          <w:ilvl w:val="1"/>
          <w:numId w:val="16"/>
        </w:numPr>
        <w:ind w:left="1418" w:hanging="709"/>
        <w:jc w:val="both"/>
        <w:rPr>
          <w:rFonts w:ascii="Arial" w:hAnsi="Arial" w:cs="Arial"/>
          <w:i/>
          <w:color w:val="000000" w:themeColor="text1"/>
          <w:sz w:val="22"/>
          <w:szCs w:val="22"/>
        </w:rPr>
      </w:pPr>
      <w:r>
        <w:rPr>
          <w:rFonts w:ascii="Arial" w:hAnsi="Arial" w:cs="Arial"/>
          <w:color w:val="000000" w:themeColor="text1"/>
          <w:sz w:val="22"/>
          <w:szCs w:val="22"/>
        </w:rPr>
        <w:t xml:space="preserve">Comparison of the balances reflected in the submitted Aging of AR with the corresponding GL balances revealed significant discrepancies in the total amount of P97.285 million, as summarized in Table 4. </w:t>
      </w:r>
    </w:p>
    <w:p>
      <w:pPr>
        <w:pStyle w:val="ListParagraph"/>
        <w:ind w:left="1440"/>
        <w:jc w:val="both"/>
        <w:rPr>
          <w:rFonts w:ascii="Arial" w:hAnsi="Arial" w:cs="Arial"/>
          <w:i/>
          <w:color w:val="000000" w:themeColor="text1"/>
          <w:sz w:val="22"/>
          <w:szCs w:val="22"/>
        </w:rPr>
      </w:pPr>
    </w:p>
    <w:p>
      <w:pPr>
        <w:pStyle w:val="ListParagraph"/>
        <w:jc w:val="center"/>
        <w:rPr>
          <w:rFonts w:ascii="Arial" w:hAnsi="Arial" w:cs="Arial"/>
          <w:b/>
          <w:color w:val="000000" w:themeColor="text1"/>
          <w:sz w:val="20"/>
          <w:szCs w:val="20"/>
        </w:rPr>
      </w:pPr>
      <w:r>
        <w:rPr>
          <w:rFonts w:ascii="Arial" w:hAnsi="Arial" w:cs="Arial"/>
          <w:b/>
          <w:color w:val="000000" w:themeColor="text1"/>
          <w:sz w:val="20"/>
          <w:szCs w:val="20"/>
        </w:rPr>
        <w:t>Table 4- Variances between GL balances and Aging Report of AR</w:t>
      </w:r>
    </w:p>
    <w:p>
      <w:pPr>
        <w:pStyle w:val="ListParagraph"/>
        <w:ind w:left="1440"/>
        <w:jc w:val="center"/>
        <w:rPr>
          <w:rFonts w:ascii="Arial" w:hAnsi="Arial" w:cs="Arial"/>
          <w:b/>
          <w:color w:val="000000" w:themeColor="text1"/>
          <w:sz w:val="20"/>
          <w:szCs w:val="20"/>
        </w:rPr>
      </w:pPr>
    </w:p>
    <w:tbl>
      <w:tblPr>
        <w:tblStyle w:val="TableGrid"/>
        <w:tblW w:w="7837" w:type="dxa"/>
        <w:tblInd w:w="805" w:type="dxa"/>
        <w:tblBorders>
          <w:left w:val="none" w:sz="0" w:space="0" w:color="auto"/>
          <w:right w:val="none" w:sz="0" w:space="0" w:color="auto"/>
          <w:insideH w:val="dotted" w:sz="4" w:space="0" w:color="auto"/>
          <w:insideV w:val="none" w:sz="0" w:space="0" w:color="auto"/>
        </w:tblBorders>
        <w:tblLayout w:type="fixed"/>
        <w:tblLook w:val="04A0" w:firstRow="1" w:lastRow="0" w:firstColumn="1" w:lastColumn="0" w:noHBand="0" w:noVBand="1"/>
      </w:tblPr>
      <w:tblGrid>
        <w:gridCol w:w="2456"/>
        <w:gridCol w:w="1984"/>
        <w:gridCol w:w="1978"/>
        <w:gridCol w:w="1419"/>
      </w:tblGrid>
      <w:tr>
        <w:trPr>
          <w:tblHeader/>
        </w:trPr>
        <w:tc>
          <w:tcPr>
            <w:tcW w:w="2456" w:type="dxa"/>
            <w:vMerge w:val="restart"/>
            <w:vAlign w:val="bottom"/>
          </w:tcPr>
          <w:p>
            <w:pPr>
              <w:ind w:left="-110"/>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Account Name</w:t>
            </w:r>
          </w:p>
        </w:tc>
        <w:tc>
          <w:tcPr>
            <w:tcW w:w="3962" w:type="dxa"/>
            <w:gridSpan w:val="2"/>
            <w:vAlign w:val="bottom"/>
          </w:tcPr>
          <w:p>
            <w:pPr>
              <w:jc w:val="center"/>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Outstanding Balance As Of December 31, 2020</w:t>
            </w:r>
          </w:p>
        </w:tc>
        <w:tc>
          <w:tcPr>
            <w:tcW w:w="1419" w:type="dxa"/>
            <w:vMerge w:val="restart"/>
            <w:vAlign w:val="bottom"/>
          </w:tcPr>
          <w:p>
            <w:pPr>
              <w:ind w:right="-110"/>
              <w:jc w:val="right"/>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Variance</w:t>
            </w:r>
          </w:p>
        </w:tc>
      </w:tr>
      <w:tr>
        <w:trPr>
          <w:tblHeader/>
        </w:trPr>
        <w:tc>
          <w:tcPr>
            <w:tcW w:w="2456" w:type="dxa"/>
            <w:vMerge/>
            <w:tcBorders>
              <w:bottom w:val="single" w:sz="4" w:space="0" w:color="auto"/>
            </w:tcBorders>
            <w:vAlign w:val="bottom"/>
          </w:tcPr>
          <w:p>
            <w:pPr>
              <w:ind w:left="-110"/>
              <w:jc w:val="both"/>
              <w:rPr>
                <w:rFonts w:ascii="Arial Narrow" w:hAnsi="Arial Narrow" w:cs="Arial"/>
                <w:color w:val="000000" w:themeColor="text1"/>
                <w:sz w:val="20"/>
                <w:szCs w:val="20"/>
                <w:lang w:val="en-PH" w:eastAsia="ar-SA"/>
              </w:rPr>
            </w:pPr>
          </w:p>
        </w:tc>
        <w:tc>
          <w:tcPr>
            <w:tcW w:w="1984" w:type="dxa"/>
            <w:tcBorders>
              <w:bottom w:val="single" w:sz="4" w:space="0" w:color="auto"/>
            </w:tcBorders>
            <w:vAlign w:val="bottom"/>
          </w:tcPr>
          <w:p>
            <w:pPr>
              <w:jc w:val="right"/>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Per GL</w:t>
            </w:r>
          </w:p>
        </w:tc>
        <w:tc>
          <w:tcPr>
            <w:tcW w:w="1975" w:type="dxa"/>
            <w:tcBorders>
              <w:bottom w:val="single" w:sz="4" w:space="0" w:color="auto"/>
            </w:tcBorders>
            <w:vAlign w:val="bottom"/>
          </w:tcPr>
          <w:p>
            <w:pPr>
              <w:ind w:left="-200" w:right="-90"/>
              <w:jc w:val="right"/>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Per Submitted Aging of AR</w:t>
            </w:r>
          </w:p>
        </w:tc>
        <w:tc>
          <w:tcPr>
            <w:tcW w:w="1419" w:type="dxa"/>
            <w:vMerge/>
            <w:tcBorders>
              <w:bottom w:val="single" w:sz="4" w:space="0" w:color="auto"/>
            </w:tcBorders>
            <w:vAlign w:val="bottom"/>
          </w:tcPr>
          <w:p>
            <w:pPr>
              <w:jc w:val="both"/>
              <w:rPr>
                <w:rFonts w:ascii="Arial Narrow" w:hAnsi="Arial Narrow" w:cs="Arial"/>
                <w:color w:val="000000" w:themeColor="text1"/>
                <w:sz w:val="20"/>
                <w:szCs w:val="20"/>
                <w:lang w:val="en-PH" w:eastAsia="ar-SA"/>
              </w:rPr>
            </w:pPr>
          </w:p>
        </w:tc>
      </w:tr>
      <w:tr>
        <w:tc>
          <w:tcPr>
            <w:tcW w:w="2456" w:type="dxa"/>
            <w:tcBorders>
              <w:top w:val="single" w:sz="4" w:space="0" w:color="auto"/>
              <w:bottom w:val="dotted" w:sz="4" w:space="0" w:color="auto"/>
            </w:tcBorders>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Authorized Sellers</w:t>
            </w:r>
          </w:p>
        </w:tc>
        <w:tc>
          <w:tcPr>
            <w:tcW w:w="1984" w:type="dxa"/>
            <w:tcBorders>
              <w:top w:val="single" w:sz="4" w:space="0" w:color="auto"/>
              <w:bottom w:val="dotted" w:sz="4" w:space="0" w:color="auto"/>
            </w:tcBorders>
            <w:vAlign w:val="bottom"/>
          </w:tcPr>
          <w:p>
            <w:pPr>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9,463,261.58</w:t>
            </w:r>
          </w:p>
        </w:tc>
        <w:tc>
          <w:tcPr>
            <w:tcW w:w="1975" w:type="dxa"/>
            <w:tcBorders>
              <w:top w:val="single" w:sz="4" w:space="0" w:color="auto"/>
              <w:bottom w:val="dotted" w:sz="4" w:space="0" w:color="auto"/>
            </w:tcBorders>
            <w:vAlign w:val="bottom"/>
          </w:tcPr>
          <w:p>
            <w:pPr>
              <w:ind w:left="-20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9,277,104.36</w:t>
            </w:r>
          </w:p>
        </w:tc>
        <w:tc>
          <w:tcPr>
            <w:tcW w:w="1419" w:type="dxa"/>
            <w:tcBorders>
              <w:top w:val="single" w:sz="4" w:space="0" w:color="auto"/>
              <w:bottom w:val="dotted" w:sz="4" w:space="0" w:color="auto"/>
            </w:tcBorders>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186,157.22</w:t>
            </w:r>
          </w:p>
        </w:tc>
      </w:tr>
      <w:tr>
        <w:tc>
          <w:tcPr>
            <w:tcW w:w="2456" w:type="dxa"/>
            <w:tcBorders>
              <w:top w:val="dotted" w:sz="4" w:space="0" w:color="auto"/>
            </w:tcBorders>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Special Draw</w:t>
            </w:r>
          </w:p>
        </w:tc>
        <w:tc>
          <w:tcPr>
            <w:tcW w:w="1984" w:type="dxa"/>
            <w:tcBorders>
              <w:top w:val="dotted" w:sz="4" w:space="0" w:color="auto"/>
            </w:tcBorders>
            <w:vAlign w:val="bottom"/>
          </w:tcPr>
          <w:p>
            <w:pPr>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3,758,575.56</w:t>
            </w:r>
          </w:p>
        </w:tc>
        <w:tc>
          <w:tcPr>
            <w:tcW w:w="1975" w:type="dxa"/>
            <w:tcBorders>
              <w:top w:val="dotted" w:sz="4" w:space="0" w:color="auto"/>
            </w:tcBorders>
            <w:vAlign w:val="bottom"/>
          </w:tcPr>
          <w:p>
            <w:pPr>
              <w:ind w:left="-20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4,195,395.34</w:t>
            </w:r>
          </w:p>
        </w:tc>
        <w:tc>
          <w:tcPr>
            <w:tcW w:w="1419" w:type="dxa"/>
            <w:tcBorders>
              <w:top w:val="dotted" w:sz="4" w:space="0" w:color="auto"/>
            </w:tcBorders>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(436,819.78)</w:t>
            </w:r>
          </w:p>
        </w:tc>
      </w:tr>
      <w:tr>
        <w:tc>
          <w:tcPr>
            <w:tcW w:w="2456" w:type="dxa"/>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Provincial Distributors/Sales Representative</w:t>
            </w:r>
          </w:p>
        </w:tc>
        <w:tc>
          <w:tcPr>
            <w:tcW w:w="1984" w:type="dxa"/>
            <w:vAlign w:val="bottom"/>
          </w:tcPr>
          <w:p>
            <w:pPr>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1,003,059.90</w:t>
            </w:r>
          </w:p>
        </w:tc>
        <w:tc>
          <w:tcPr>
            <w:tcW w:w="1975" w:type="dxa"/>
            <w:vAlign w:val="bottom"/>
          </w:tcPr>
          <w:p>
            <w:pPr>
              <w:ind w:left="-20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1,113,716.85</w:t>
            </w:r>
          </w:p>
        </w:tc>
        <w:tc>
          <w:tcPr>
            <w:tcW w:w="1419" w:type="dxa"/>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(110,656.95)</w:t>
            </w:r>
          </w:p>
        </w:tc>
      </w:tr>
      <w:tr>
        <w:tc>
          <w:tcPr>
            <w:tcW w:w="2456" w:type="dxa"/>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AR-Defaulted Provincial Distributors</w:t>
            </w:r>
          </w:p>
        </w:tc>
        <w:tc>
          <w:tcPr>
            <w:tcW w:w="1984" w:type="dxa"/>
            <w:vAlign w:val="bottom"/>
          </w:tcPr>
          <w:p>
            <w:pPr>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37,141,973.50</w:t>
            </w:r>
          </w:p>
        </w:tc>
        <w:tc>
          <w:tcPr>
            <w:tcW w:w="1975" w:type="dxa"/>
            <w:vAlign w:val="bottom"/>
          </w:tcPr>
          <w:p>
            <w:pPr>
              <w:ind w:left="-20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36,648,743.45</w:t>
            </w:r>
          </w:p>
        </w:tc>
        <w:tc>
          <w:tcPr>
            <w:tcW w:w="1419" w:type="dxa"/>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493,230.05</w:t>
            </w:r>
          </w:p>
        </w:tc>
      </w:tr>
      <w:tr>
        <w:tc>
          <w:tcPr>
            <w:tcW w:w="2456" w:type="dxa"/>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Sales Supervisor</w:t>
            </w:r>
          </w:p>
        </w:tc>
        <w:tc>
          <w:tcPr>
            <w:tcW w:w="1984" w:type="dxa"/>
            <w:vAlign w:val="bottom"/>
          </w:tcPr>
          <w:p>
            <w:pPr>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(76,181.54)</w:t>
            </w:r>
          </w:p>
        </w:tc>
        <w:tc>
          <w:tcPr>
            <w:tcW w:w="1975" w:type="dxa"/>
            <w:vAlign w:val="bottom"/>
          </w:tcPr>
          <w:p>
            <w:pPr>
              <w:ind w:left="-20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157,934.11</w:t>
            </w:r>
          </w:p>
        </w:tc>
        <w:tc>
          <w:tcPr>
            <w:tcW w:w="1419" w:type="dxa"/>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(234,115.65)</w:t>
            </w:r>
          </w:p>
        </w:tc>
      </w:tr>
      <w:tr>
        <w:tc>
          <w:tcPr>
            <w:tcW w:w="2456" w:type="dxa"/>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Defaulted Sales Supervisor</w:t>
            </w:r>
          </w:p>
        </w:tc>
        <w:tc>
          <w:tcPr>
            <w:tcW w:w="1984" w:type="dxa"/>
            <w:vAlign w:val="bottom"/>
          </w:tcPr>
          <w:p>
            <w:pPr>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6,157,394.87</w:t>
            </w:r>
          </w:p>
        </w:tc>
        <w:tc>
          <w:tcPr>
            <w:tcW w:w="1975" w:type="dxa"/>
            <w:vAlign w:val="bottom"/>
          </w:tcPr>
          <w:p>
            <w:pPr>
              <w:ind w:left="-20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6,151,418.87</w:t>
            </w:r>
          </w:p>
        </w:tc>
        <w:tc>
          <w:tcPr>
            <w:tcW w:w="1419" w:type="dxa"/>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5,976.00</w:t>
            </w:r>
          </w:p>
        </w:tc>
      </w:tr>
      <w:tr>
        <w:tc>
          <w:tcPr>
            <w:tcW w:w="2456" w:type="dxa"/>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Ticket Account</w:t>
            </w:r>
          </w:p>
        </w:tc>
        <w:tc>
          <w:tcPr>
            <w:tcW w:w="1984" w:type="dxa"/>
            <w:vAlign w:val="bottom"/>
          </w:tcPr>
          <w:p>
            <w:pPr>
              <w:ind w:right="-4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5,925,907.19</w:t>
            </w:r>
          </w:p>
        </w:tc>
        <w:tc>
          <w:tcPr>
            <w:tcW w:w="1975" w:type="dxa"/>
            <w:vAlign w:val="bottom"/>
          </w:tcPr>
          <w:p>
            <w:pPr>
              <w:ind w:left="-40" w:right="-9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3,644,836.25</w:t>
            </w:r>
          </w:p>
        </w:tc>
        <w:tc>
          <w:tcPr>
            <w:tcW w:w="1419" w:type="dxa"/>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2,281,070.94</w:t>
            </w:r>
          </w:p>
        </w:tc>
      </w:tr>
      <w:tr>
        <w:tc>
          <w:tcPr>
            <w:tcW w:w="2456" w:type="dxa"/>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AR-Account Receivables (Others)</w:t>
            </w:r>
          </w:p>
        </w:tc>
        <w:tc>
          <w:tcPr>
            <w:tcW w:w="1984" w:type="dxa"/>
            <w:vAlign w:val="bottom"/>
          </w:tcPr>
          <w:p>
            <w:pPr>
              <w:ind w:right="-4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673,220.00</w:t>
            </w:r>
          </w:p>
        </w:tc>
        <w:tc>
          <w:tcPr>
            <w:tcW w:w="1975" w:type="dxa"/>
            <w:vAlign w:val="bottom"/>
          </w:tcPr>
          <w:p>
            <w:pPr>
              <w:ind w:left="-40" w:right="-9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60,295.00</w:t>
            </w:r>
          </w:p>
        </w:tc>
        <w:tc>
          <w:tcPr>
            <w:tcW w:w="1419" w:type="dxa"/>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612,925.00</w:t>
            </w:r>
          </w:p>
        </w:tc>
      </w:tr>
      <w:tr>
        <w:tc>
          <w:tcPr>
            <w:tcW w:w="2456" w:type="dxa"/>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AR-Trade- Branches</w:t>
            </w:r>
          </w:p>
        </w:tc>
        <w:tc>
          <w:tcPr>
            <w:tcW w:w="1984" w:type="dxa"/>
            <w:vAlign w:val="bottom"/>
          </w:tcPr>
          <w:p>
            <w:pPr>
              <w:ind w:right="-4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55,132,971.54</w:t>
            </w:r>
          </w:p>
        </w:tc>
        <w:tc>
          <w:tcPr>
            <w:tcW w:w="1975" w:type="dxa"/>
            <w:vAlign w:val="bottom"/>
          </w:tcPr>
          <w:p>
            <w:pPr>
              <w:ind w:left="-40" w:right="-9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62,781,878.36</w:t>
            </w:r>
          </w:p>
        </w:tc>
        <w:tc>
          <w:tcPr>
            <w:tcW w:w="1419" w:type="dxa"/>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(7,648,906.82)</w:t>
            </w:r>
          </w:p>
        </w:tc>
      </w:tr>
      <w:tr>
        <w:tc>
          <w:tcPr>
            <w:tcW w:w="2456" w:type="dxa"/>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AR-Lotto Agents</w:t>
            </w:r>
          </w:p>
        </w:tc>
        <w:tc>
          <w:tcPr>
            <w:tcW w:w="1984" w:type="dxa"/>
            <w:vAlign w:val="bottom"/>
          </w:tcPr>
          <w:p>
            <w:pPr>
              <w:ind w:right="-4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221,524,747.33</w:t>
            </w:r>
          </w:p>
        </w:tc>
        <w:tc>
          <w:tcPr>
            <w:tcW w:w="1975" w:type="dxa"/>
            <w:vAlign w:val="bottom"/>
          </w:tcPr>
          <w:p>
            <w:pPr>
              <w:ind w:left="-40" w:right="-9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191,783,430.67</w:t>
            </w:r>
          </w:p>
        </w:tc>
        <w:tc>
          <w:tcPr>
            <w:tcW w:w="1419" w:type="dxa"/>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29,741,316.66</w:t>
            </w:r>
          </w:p>
        </w:tc>
      </w:tr>
      <w:tr>
        <w:tc>
          <w:tcPr>
            <w:tcW w:w="2456" w:type="dxa"/>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AR-Ticket Sales-Keno</w:t>
            </w:r>
          </w:p>
        </w:tc>
        <w:tc>
          <w:tcPr>
            <w:tcW w:w="1984" w:type="dxa"/>
            <w:vAlign w:val="bottom"/>
          </w:tcPr>
          <w:p>
            <w:pPr>
              <w:ind w:right="-4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11,886,546.63</w:t>
            </w:r>
          </w:p>
        </w:tc>
        <w:tc>
          <w:tcPr>
            <w:tcW w:w="1975" w:type="dxa"/>
            <w:vAlign w:val="bottom"/>
          </w:tcPr>
          <w:p>
            <w:pPr>
              <w:ind w:left="-40" w:right="-9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8,554,201.41</w:t>
            </w:r>
          </w:p>
        </w:tc>
        <w:tc>
          <w:tcPr>
            <w:tcW w:w="1419" w:type="dxa"/>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3,332,345.22</w:t>
            </w:r>
          </w:p>
        </w:tc>
      </w:tr>
      <w:tr>
        <w:tc>
          <w:tcPr>
            <w:tcW w:w="2456" w:type="dxa"/>
            <w:tcBorders>
              <w:bottom w:val="dotted" w:sz="4" w:space="0" w:color="auto"/>
            </w:tcBorders>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STL</w:t>
            </w:r>
          </w:p>
        </w:tc>
        <w:tc>
          <w:tcPr>
            <w:tcW w:w="1984" w:type="dxa"/>
            <w:tcBorders>
              <w:bottom w:val="dotted" w:sz="4" w:space="0" w:color="auto"/>
            </w:tcBorders>
            <w:vAlign w:val="bottom"/>
          </w:tcPr>
          <w:p>
            <w:pPr>
              <w:ind w:right="-4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5,983,952,257.12</w:t>
            </w:r>
          </w:p>
        </w:tc>
        <w:tc>
          <w:tcPr>
            <w:tcW w:w="1975" w:type="dxa"/>
            <w:tcBorders>
              <w:bottom w:val="dotted" w:sz="4" w:space="0" w:color="auto"/>
            </w:tcBorders>
            <w:vAlign w:val="bottom"/>
          </w:tcPr>
          <w:p>
            <w:pPr>
              <w:ind w:left="-40" w:right="-9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5,958,840,514.22</w:t>
            </w:r>
          </w:p>
        </w:tc>
        <w:tc>
          <w:tcPr>
            <w:tcW w:w="1419" w:type="dxa"/>
            <w:tcBorders>
              <w:bottom w:val="dotted" w:sz="4" w:space="0" w:color="auto"/>
            </w:tcBorders>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25,111,742.90</w:t>
            </w:r>
          </w:p>
        </w:tc>
      </w:tr>
      <w:tr>
        <w:tc>
          <w:tcPr>
            <w:tcW w:w="2456" w:type="dxa"/>
            <w:tcBorders>
              <w:top w:val="dotted" w:sz="4" w:space="0" w:color="auto"/>
              <w:bottom w:val="single" w:sz="4" w:space="0" w:color="auto"/>
            </w:tcBorders>
            <w:vAlign w:val="bottom"/>
          </w:tcPr>
          <w:p>
            <w:pPr>
              <w:ind w:left="77" w:hanging="187"/>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Peryahan*</w:t>
            </w:r>
          </w:p>
        </w:tc>
        <w:tc>
          <w:tcPr>
            <w:tcW w:w="1984" w:type="dxa"/>
            <w:tcBorders>
              <w:top w:val="dotted" w:sz="4" w:space="0" w:color="auto"/>
              <w:bottom w:val="single" w:sz="4" w:space="0" w:color="auto"/>
            </w:tcBorders>
            <w:vAlign w:val="bottom"/>
          </w:tcPr>
          <w:p>
            <w:pPr>
              <w:ind w:right="-4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76,560,414.60</w:t>
            </w:r>
          </w:p>
        </w:tc>
        <w:tc>
          <w:tcPr>
            <w:tcW w:w="1975" w:type="dxa"/>
            <w:tcBorders>
              <w:top w:val="dotted" w:sz="4" w:space="0" w:color="auto"/>
              <w:bottom w:val="single" w:sz="4" w:space="0" w:color="auto"/>
            </w:tcBorders>
            <w:vAlign w:val="bottom"/>
          </w:tcPr>
          <w:p>
            <w:pPr>
              <w:ind w:left="-40" w:right="-9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32,609,249.58</w:t>
            </w:r>
          </w:p>
        </w:tc>
        <w:tc>
          <w:tcPr>
            <w:tcW w:w="1419" w:type="dxa"/>
            <w:tcBorders>
              <w:top w:val="dotted" w:sz="4" w:space="0" w:color="auto"/>
              <w:bottom w:val="single" w:sz="4" w:space="0" w:color="auto"/>
            </w:tcBorders>
            <w:vAlign w:val="bottom"/>
          </w:tcPr>
          <w:p>
            <w:pPr>
              <w:ind w:right="-11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43,951,165.02</w:t>
            </w:r>
          </w:p>
        </w:tc>
      </w:tr>
      <w:tr>
        <w:tc>
          <w:tcPr>
            <w:tcW w:w="2456" w:type="dxa"/>
            <w:tcBorders>
              <w:top w:val="single" w:sz="4" w:space="0" w:color="auto"/>
              <w:bottom w:val="double" w:sz="4" w:space="0" w:color="auto"/>
            </w:tcBorders>
            <w:vAlign w:val="bottom"/>
          </w:tcPr>
          <w:p>
            <w:pPr>
              <w:ind w:left="77" w:hanging="187"/>
              <w:jc w:val="both"/>
              <w:rPr>
                <w:rFonts w:ascii="Arial Narrow" w:hAnsi="Arial Narrow" w:cs="Arial"/>
                <w:b/>
                <w:color w:val="000000" w:themeColor="text1"/>
                <w:sz w:val="20"/>
                <w:szCs w:val="20"/>
                <w:lang w:eastAsia="ar-SA"/>
              </w:rPr>
            </w:pPr>
            <w:r>
              <w:rPr>
                <w:rFonts w:ascii="Arial Narrow" w:hAnsi="Arial Narrow" w:cs="Arial"/>
                <w:b/>
                <w:color w:val="000000" w:themeColor="text1"/>
                <w:sz w:val="20"/>
                <w:szCs w:val="20"/>
                <w:lang w:eastAsia="ar-SA"/>
              </w:rPr>
              <w:t>TOTAL</w:t>
            </w:r>
          </w:p>
        </w:tc>
        <w:tc>
          <w:tcPr>
            <w:tcW w:w="1984" w:type="dxa"/>
            <w:tcBorders>
              <w:top w:val="single" w:sz="4" w:space="0" w:color="auto"/>
              <w:bottom w:val="double" w:sz="4" w:space="0" w:color="auto"/>
            </w:tcBorders>
            <w:vAlign w:val="bottom"/>
          </w:tcPr>
          <w:p>
            <w:pPr>
              <w:ind w:right="-40"/>
              <w:jc w:val="right"/>
              <w:rPr>
                <w:rFonts w:ascii="Arial Narrow" w:hAnsi="Arial Narrow" w:cs="Arial"/>
                <w:b/>
                <w:color w:val="000000" w:themeColor="text1"/>
                <w:sz w:val="20"/>
                <w:szCs w:val="20"/>
                <w:lang w:eastAsia="ar-SA"/>
              </w:rPr>
            </w:pPr>
            <w:r>
              <w:rPr>
                <w:rFonts w:ascii="Arial Narrow" w:hAnsi="Arial Narrow" w:cs="Arial"/>
                <w:b/>
                <w:color w:val="000000" w:themeColor="text1"/>
                <w:sz w:val="20"/>
                <w:szCs w:val="20"/>
                <w:lang w:val="en-PH" w:eastAsia="ar-SA"/>
              </w:rPr>
              <w:t>6,413,104,148.28</w:t>
            </w:r>
          </w:p>
        </w:tc>
        <w:tc>
          <w:tcPr>
            <w:tcW w:w="1975" w:type="dxa"/>
            <w:tcBorders>
              <w:top w:val="single" w:sz="4" w:space="0" w:color="auto"/>
              <w:bottom w:val="double" w:sz="4" w:space="0" w:color="auto"/>
            </w:tcBorders>
            <w:vAlign w:val="bottom"/>
          </w:tcPr>
          <w:p>
            <w:pPr>
              <w:ind w:left="-40" w:right="-90"/>
              <w:jc w:val="right"/>
              <w:rPr>
                <w:rFonts w:ascii="Arial Narrow" w:hAnsi="Arial Narrow" w:cs="Arial"/>
                <w:b/>
                <w:color w:val="000000" w:themeColor="text1"/>
                <w:sz w:val="20"/>
                <w:szCs w:val="20"/>
                <w:lang w:eastAsia="ar-SA"/>
              </w:rPr>
            </w:pPr>
            <w:r>
              <w:rPr>
                <w:rFonts w:ascii="Arial Narrow" w:hAnsi="Arial Narrow" w:cs="Arial"/>
                <w:b/>
                <w:color w:val="000000" w:themeColor="text1"/>
                <w:sz w:val="20"/>
                <w:szCs w:val="20"/>
                <w:lang w:val="en-PH" w:eastAsia="ar-SA"/>
              </w:rPr>
              <w:t>6,315,818,718.47</w:t>
            </w:r>
          </w:p>
        </w:tc>
        <w:tc>
          <w:tcPr>
            <w:tcW w:w="1419" w:type="dxa"/>
            <w:tcBorders>
              <w:top w:val="single" w:sz="4" w:space="0" w:color="auto"/>
              <w:bottom w:val="double" w:sz="4" w:space="0" w:color="auto"/>
            </w:tcBorders>
            <w:vAlign w:val="bottom"/>
          </w:tcPr>
          <w:p>
            <w:pPr>
              <w:ind w:right="-110"/>
              <w:jc w:val="right"/>
              <w:rPr>
                <w:rFonts w:ascii="Arial Narrow" w:hAnsi="Arial Narrow" w:cs="Arial"/>
                <w:b/>
                <w:color w:val="000000" w:themeColor="text1"/>
                <w:sz w:val="20"/>
                <w:szCs w:val="20"/>
                <w:lang w:eastAsia="ar-SA"/>
              </w:rPr>
            </w:pPr>
            <w:r>
              <w:rPr>
                <w:rFonts w:ascii="Arial Narrow" w:hAnsi="Arial Narrow" w:cs="Arial"/>
                <w:b/>
                <w:color w:val="000000" w:themeColor="text1"/>
                <w:sz w:val="20"/>
                <w:szCs w:val="20"/>
                <w:lang w:val="en-PH" w:eastAsia="ar-SA"/>
              </w:rPr>
              <w:t>97,285,429.81</w:t>
            </w:r>
          </w:p>
        </w:tc>
      </w:tr>
    </w:tbl>
    <w:p>
      <w:pPr>
        <w:pStyle w:val="ListParagraph"/>
        <w:ind w:left="1440"/>
        <w:jc w:val="both"/>
        <w:rPr>
          <w:rFonts w:ascii="Arial" w:hAnsi="Arial" w:cs="Arial"/>
          <w:b/>
          <w:sz w:val="6"/>
          <w:szCs w:val="6"/>
        </w:rPr>
      </w:pPr>
    </w:p>
    <w:p>
      <w:pPr>
        <w:spacing w:after="0" w:line="240" w:lineRule="auto"/>
        <w:ind w:firstLine="720"/>
        <w:jc w:val="both"/>
        <w:rPr>
          <w:rFonts w:ascii="Arial" w:hAnsi="Arial" w:cs="Arial"/>
          <w:bCs/>
          <w:i/>
          <w:sz w:val="18"/>
          <w:szCs w:val="18"/>
          <w:lang w:eastAsia="ar-SA"/>
        </w:rPr>
      </w:pPr>
      <w:r>
        <w:rPr>
          <w:rFonts w:ascii="Arial" w:hAnsi="Arial" w:cs="Arial"/>
          <w:bCs/>
          <w:i/>
          <w:sz w:val="18"/>
          <w:szCs w:val="18"/>
          <w:lang w:eastAsia="ar-SA"/>
        </w:rPr>
        <w:t xml:space="preserve">* Comparison of balances for AR-Peryahan pertains only to the balances of NCL, STBR and VisMin </w:t>
      </w:r>
    </w:p>
    <w:p>
      <w:pPr>
        <w:spacing w:after="0" w:line="240" w:lineRule="auto"/>
        <w:ind w:firstLine="720"/>
        <w:jc w:val="both"/>
        <w:rPr>
          <w:rFonts w:ascii="Arial" w:hAnsi="Arial" w:cs="Arial"/>
          <w:bCs/>
          <w:i/>
          <w:sz w:val="18"/>
          <w:szCs w:val="18"/>
          <w:lang w:eastAsia="ar-SA"/>
        </w:rPr>
      </w:pPr>
      <w:r>
        <w:rPr>
          <w:rFonts w:ascii="Arial" w:hAnsi="Arial" w:cs="Arial"/>
          <w:bCs/>
          <w:i/>
          <w:sz w:val="18"/>
          <w:szCs w:val="18"/>
          <w:lang w:eastAsia="ar-SA"/>
        </w:rPr>
        <w:t xml:space="preserve">  branches since the Aging of AR-Peryahan (NCR) was not submitted</w:t>
      </w:r>
    </w:p>
    <w:p>
      <w:pPr>
        <w:spacing w:after="0" w:line="240" w:lineRule="auto"/>
        <w:jc w:val="both"/>
        <w:rPr>
          <w:rFonts w:ascii="Arial" w:hAnsi="Arial" w:cs="Arial"/>
          <w:i/>
        </w:rPr>
      </w:pPr>
    </w:p>
    <w:p>
      <w:pPr>
        <w:pStyle w:val="ListParagraph"/>
        <w:numPr>
          <w:ilvl w:val="1"/>
          <w:numId w:val="16"/>
        </w:numPr>
        <w:ind w:left="1418" w:hanging="709"/>
        <w:jc w:val="both"/>
        <w:rPr>
          <w:rFonts w:ascii="Arial" w:hAnsi="Arial" w:cs="Arial"/>
          <w:i/>
          <w:sz w:val="22"/>
          <w:szCs w:val="22"/>
        </w:rPr>
      </w:pPr>
      <w:r>
        <w:rPr>
          <w:rFonts w:ascii="Arial" w:hAnsi="Arial" w:cs="Arial"/>
          <w:sz w:val="22"/>
          <w:szCs w:val="22"/>
          <w:lang w:val="en-PH" w:eastAsia="ar-SA"/>
        </w:rPr>
        <w:t>Normally, t</w:t>
      </w:r>
      <w:r>
        <w:rPr>
          <w:rFonts w:ascii="Arial" w:hAnsi="Arial" w:cs="Arial"/>
          <w:bCs/>
          <w:sz w:val="22"/>
          <w:szCs w:val="22"/>
          <w:lang w:val="en-PH" w:eastAsia="ar-SA"/>
        </w:rPr>
        <w:t>he GL balances agree with the corresponding Aging Schedule showing the length of time that the receivables from agents/debtors remained unpaid.  It was noted, however, that the balances of the subject AR sub-accounts per GL were greater by P97.285 million when compared with the balances per Aging of AR</w:t>
      </w:r>
      <w:r>
        <w:rPr>
          <w:rFonts w:ascii="Arial" w:hAnsi="Arial" w:cs="Arial"/>
          <w:sz w:val="22"/>
          <w:szCs w:val="22"/>
        </w:rPr>
        <w:t xml:space="preserve">. </w:t>
      </w:r>
    </w:p>
    <w:p>
      <w:pPr>
        <w:pStyle w:val="ListParagraph"/>
        <w:ind w:left="1440"/>
        <w:jc w:val="both"/>
        <w:rPr>
          <w:rFonts w:ascii="Arial" w:hAnsi="Arial" w:cs="Arial"/>
          <w:i/>
          <w:sz w:val="22"/>
          <w:szCs w:val="22"/>
        </w:rPr>
      </w:pPr>
    </w:p>
    <w:p>
      <w:pPr>
        <w:pStyle w:val="ListParagraph"/>
        <w:numPr>
          <w:ilvl w:val="1"/>
          <w:numId w:val="16"/>
        </w:numPr>
        <w:ind w:left="1418" w:hanging="709"/>
        <w:jc w:val="both"/>
        <w:rPr>
          <w:rFonts w:ascii="Arial" w:hAnsi="Arial" w:cs="Arial"/>
          <w:i/>
          <w:sz w:val="22"/>
          <w:szCs w:val="22"/>
        </w:rPr>
      </w:pPr>
      <w:r>
        <w:rPr>
          <w:rFonts w:ascii="Arial" w:hAnsi="Arial" w:cs="Arial"/>
          <w:bCs/>
          <w:sz w:val="22"/>
          <w:szCs w:val="22"/>
          <w:lang w:val="en-PH" w:eastAsia="ar-SA"/>
        </w:rPr>
        <w:t>The concerned ABD personnel explained that the noted discrepancies were accounts for reconciliation due to prior period errors in the posting of transactions which remained unreconciled and unadjusted as of December 31, 2020. Consequently, the said discrepancies cast doubt on the validity and accuracy of the AR balances</w:t>
      </w:r>
      <w:r>
        <w:rPr>
          <w:rFonts w:ascii="Arial" w:hAnsi="Arial" w:cs="Arial"/>
          <w:sz w:val="22"/>
          <w:szCs w:val="22"/>
        </w:rPr>
        <w:t>.</w:t>
      </w:r>
    </w:p>
    <w:p>
      <w:pPr>
        <w:pStyle w:val="ListParagraph"/>
        <w:rPr>
          <w:rFonts w:ascii="Arial" w:hAnsi="Arial" w:cs="Arial"/>
          <w:i/>
          <w:sz w:val="22"/>
          <w:szCs w:val="22"/>
        </w:rPr>
      </w:pPr>
    </w:p>
    <w:p>
      <w:pPr>
        <w:pStyle w:val="ListParagraph"/>
        <w:numPr>
          <w:ilvl w:val="1"/>
          <w:numId w:val="16"/>
        </w:numPr>
        <w:ind w:left="1418" w:hanging="709"/>
        <w:jc w:val="both"/>
        <w:rPr>
          <w:rFonts w:ascii="Arial" w:hAnsi="Arial" w:cs="Arial"/>
          <w:i/>
          <w:sz w:val="22"/>
          <w:szCs w:val="22"/>
        </w:rPr>
      </w:pPr>
      <w:r>
        <w:rPr>
          <w:rFonts w:ascii="Arial" w:hAnsi="Arial" w:cs="Arial"/>
          <w:b/>
          <w:sz w:val="22"/>
          <w:szCs w:val="22"/>
          <w:lang w:val="en-PH" w:eastAsia="ar-SA"/>
        </w:rPr>
        <w:t xml:space="preserve">We recommended that Management direct the concerned ABD personnel to reconcile the GL balances of the AR sub-accounts with </w:t>
      </w:r>
      <w:r>
        <w:rPr>
          <w:rFonts w:ascii="Arial" w:hAnsi="Arial" w:cs="Arial"/>
          <w:b/>
          <w:sz w:val="22"/>
          <w:szCs w:val="22"/>
          <w:lang w:val="en-PH" w:eastAsia="ar-SA"/>
        </w:rPr>
        <w:lastRenderedPageBreak/>
        <w:t>the corresponding Aging schedules to pinpoint the reason for the noted discrepancies and take appropriate action accordingly.</w:t>
      </w:r>
    </w:p>
    <w:p>
      <w:pPr>
        <w:pStyle w:val="ListParagraph"/>
        <w:rPr>
          <w:rFonts w:ascii="Arial" w:hAnsi="Arial" w:cs="Arial"/>
          <w:i/>
          <w:sz w:val="22"/>
          <w:szCs w:val="22"/>
        </w:rPr>
      </w:pPr>
    </w:p>
    <w:p>
      <w:pPr>
        <w:pStyle w:val="ListParagraph"/>
        <w:numPr>
          <w:ilvl w:val="1"/>
          <w:numId w:val="16"/>
        </w:numPr>
        <w:ind w:left="1418" w:hanging="709"/>
        <w:jc w:val="both"/>
        <w:rPr>
          <w:rFonts w:ascii="Arial" w:hAnsi="Arial" w:cs="Arial"/>
          <w:sz w:val="22"/>
          <w:szCs w:val="22"/>
        </w:rPr>
      </w:pPr>
      <w:r>
        <w:rPr>
          <w:rFonts w:ascii="Arial" w:hAnsi="Arial" w:cs="Arial"/>
          <w:sz w:val="22"/>
          <w:szCs w:val="22"/>
        </w:rPr>
        <w:t>Management informed that they have directed the ABD to m</w:t>
      </w:r>
      <w:r>
        <w:rPr>
          <w:rFonts w:ascii="Arial" w:hAnsi="Arial" w:cs="Arial"/>
          <w:sz w:val="22"/>
          <w:szCs w:val="22"/>
          <w:lang w:val="en-PH"/>
        </w:rPr>
        <w:t xml:space="preserve">ake a thorough analysis of the non-moving receivable accounts so that proper disposition may be recommended to the Board and to </w:t>
      </w:r>
      <w:r>
        <w:rPr>
          <w:rFonts w:ascii="Arial" w:hAnsi="Arial" w:cs="Arial"/>
          <w:sz w:val="22"/>
          <w:szCs w:val="22"/>
        </w:rPr>
        <w:t>m</w:t>
      </w:r>
      <w:r>
        <w:rPr>
          <w:rFonts w:ascii="Arial" w:hAnsi="Arial" w:cs="Arial"/>
          <w:sz w:val="22"/>
          <w:szCs w:val="22"/>
          <w:lang w:val="en-PH"/>
        </w:rPr>
        <w:t>aintain a monthly reconciliation of the balances per GL and SL so that timely and appropriate actions may be implemented.</w:t>
      </w:r>
    </w:p>
    <w:p>
      <w:pPr>
        <w:spacing w:after="0" w:line="240" w:lineRule="auto"/>
        <w:jc w:val="both"/>
        <w:rPr>
          <w:rFonts w:ascii="Arial" w:hAnsi="Arial" w:cs="Arial"/>
        </w:rPr>
      </w:pPr>
    </w:p>
    <w:p>
      <w:pPr>
        <w:pStyle w:val="ListParagraph"/>
        <w:ind w:right="3031"/>
        <w:jc w:val="both"/>
        <w:rPr>
          <w:rFonts w:ascii="Arial" w:hAnsi="Arial" w:cs="Arial"/>
          <w:i/>
          <w:iCs/>
          <w:color w:val="000000" w:themeColor="text1"/>
          <w:sz w:val="22"/>
          <w:szCs w:val="22"/>
          <w:lang w:val="en-PH" w:eastAsia="ar-SA"/>
        </w:rPr>
      </w:pPr>
      <w:r>
        <w:rPr>
          <w:rFonts w:ascii="Arial" w:hAnsi="Arial" w:cs="Arial"/>
          <w:i/>
          <w:color w:val="000000" w:themeColor="text1"/>
          <w:sz w:val="22"/>
          <w:szCs w:val="22"/>
          <w:lang w:val="en-PH" w:eastAsia="ar-SA"/>
        </w:rPr>
        <w:t>Four (4) AR sub-accounts totaling P47.467 million were not properly supported with complete SLs and schedules</w:t>
      </w:r>
      <w:r>
        <w:rPr>
          <w:rFonts w:ascii="Arial" w:hAnsi="Arial" w:cs="Arial"/>
          <w:i/>
          <w:iCs/>
          <w:color w:val="000000" w:themeColor="text1"/>
          <w:sz w:val="22"/>
          <w:szCs w:val="22"/>
          <w:lang w:val="en-PH" w:eastAsia="ar-SA"/>
        </w:rPr>
        <w:t xml:space="preserve"> </w:t>
      </w:r>
    </w:p>
    <w:p>
      <w:pPr>
        <w:pStyle w:val="ListParagraph"/>
        <w:ind w:left="1440"/>
        <w:jc w:val="center"/>
        <w:rPr>
          <w:rFonts w:ascii="Arial" w:hAnsi="Arial" w:cs="Arial"/>
          <w:b/>
          <w:i/>
          <w:color w:val="000000" w:themeColor="text1"/>
          <w:sz w:val="20"/>
          <w:szCs w:val="20"/>
        </w:rPr>
      </w:pPr>
    </w:p>
    <w:p>
      <w:pPr>
        <w:pStyle w:val="ListParagraph"/>
        <w:ind w:left="1440"/>
        <w:jc w:val="both"/>
        <w:rPr>
          <w:rFonts w:ascii="Arial" w:hAnsi="Arial" w:cs="Arial"/>
          <w:color w:val="000000" w:themeColor="text1"/>
          <w:sz w:val="10"/>
          <w:szCs w:val="10"/>
        </w:rPr>
      </w:pPr>
    </w:p>
    <w:p>
      <w:pPr>
        <w:pStyle w:val="ListParagraph"/>
        <w:numPr>
          <w:ilvl w:val="1"/>
          <w:numId w:val="16"/>
        </w:numPr>
        <w:ind w:left="1418" w:hanging="709"/>
        <w:jc w:val="both"/>
        <w:rPr>
          <w:rFonts w:ascii="Arial" w:hAnsi="Arial" w:cs="Arial"/>
          <w:i/>
          <w:color w:val="000000" w:themeColor="text1"/>
          <w:sz w:val="22"/>
          <w:szCs w:val="22"/>
        </w:rPr>
      </w:pPr>
      <w:r>
        <w:rPr>
          <w:rFonts w:ascii="Arial" w:hAnsi="Arial" w:cs="Arial"/>
          <w:color w:val="000000" w:themeColor="text1"/>
          <w:sz w:val="22"/>
          <w:szCs w:val="22"/>
          <w:lang w:val="en-PH" w:eastAsia="ar-SA"/>
        </w:rPr>
        <w:t>Section 41(2) of PD No. 1445 provides:</w:t>
      </w:r>
    </w:p>
    <w:p>
      <w:pPr>
        <w:pStyle w:val="ListParagraph"/>
        <w:ind w:left="1440"/>
        <w:jc w:val="both"/>
        <w:rPr>
          <w:rFonts w:ascii="Arial" w:hAnsi="Arial" w:cs="Arial"/>
          <w:color w:val="000000" w:themeColor="text1"/>
          <w:sz w:val="22"/>
          <w:szCs w:val="22"/>
        </w:rPr>
      </w:pPr>
    </w:p>
    <w:p>
      <w:pPr>
        <w:tabs>
          <w:tab w:val="left" w:pos="7920"/>
        </w:tabs>
        <w:spacing w:after="0" w:line="240" w:lineRule="auto"/>
        <w:ind w:left="1985" w:right="691"/>
        <w:jc w:val="both"/>
        <w:rPr>
          <w:rFonts w:ascii="Arial" w:hAnsi="Arial" w:cs="Arial"/>
          <w:i/>
          <w:color w:val="000000" w:themeColor="text1"/>
          <w:lang w:eastAsia="ar-SA"/>
        </w:rPr>
      </w:pPr>
      <w:r>
        <w:rPr>
          <w:rFonts w:ascii="Arial" w:hAnsi="Arial" w:cs="Arial"/>
          <w:i/>
          <w:iCs/>
          <w:color w:val="000000" w:themeColor="text1"/>
        </w:rPr>
        <w:t>The chief accountant or the official in charge or keeping the accounts of a government agency shall submit to the Commission year-end trial balances and such other supporting or subsidiary statements as may be required by the Commission not later than the fourteenth day of February</w:t>
      </w:r>
      <w:r>
        <w:rPr>
          <w:rFonts w:ascii="Arial" w:hAnsi="Arial" w:cs="Arial"/>
          <w:i/>
          <w:color w:val="000000" w:themeColor="text1"/>
          <w:lang w:eastAsia="ar-SA"/>
        </w:rPr>
        <w:t>.</w:t>
      </w:r>
    </w:p>
    <w:p>
      <w:pPr>
        <w:tabs>
          <w:tab w:val="left" w:pos="7920"/>
        </w:tabs>
        <w:spacing w:after="0" w:line="240" w:lineRule="auto"/>
        <w:ind w:left="1800" w:right="691"/>
        <w:jc w:val="both"/>
        <w:rPr>
          <w:rFonts w:ascii="Arial" w:hAnsi="Arial" w:cs="Arial"/>
          <w:i/>
          <w:color w:val="000000" w:themeColor="text1"/>
          <w:lang w:eastAsia="ar-SA"/>
        </w:rPr>
      </w:pPr>
    </w:p>
    <w:p>
      <w:pPr>
        <w:pStyle w:val="ListParagraph"/>
        <w:numPr>
          <w:ilvl w:val="1"/>
          <w:numId w:val="16"/>
        </w:numPr>
        <w:ind w:left="1418" w:hanging="709"/>
        <w:jc w:val="both"/>
        <w:rPr>
          <w:rFonts w:ascii="Arial" w:eastAsia="Calibri" w:hAnsi="Arial" w:cs="Arial"/>
          <w:bCs/>
          <w:color w:val="000000" w:themeColor="text1"/>
          <w:sz w:val="22"/>
          <w:szCs w:val="22"/>
        </w:rPr>
      </w:pPr>
      <w:r>
        <w:rPr>
          <w:rFonts w:ascii="Arial" w:eastAsiaTheme="minorHAnsi" w:hAnsi="Arial" w:cs="Arial"/>
          <w:iCs/>
          <w:color w:val="000000" w:themeColor="text1"/>
          <w:sz w:val="22"/>
          <w:szCs w:val="22"/>
        </w:rPr>
        <w:t xml:space="preserve">QC26 of </w:t>
      </w:r>
      <w:r>
        <w:rPr>
          <w:rFonts w:ascii="Arial" w:hAnsi="Arial" w:cs="Arial"/>
          <w:bCs/>
          <w:color w:val="000000" w:themeColor="text1"/>
          <w:sz w:val="22"/>
          <w:szCs w:val="22"/>
        </w:rPr>
        <w:t>CFGPFR</w:t>
      </w:r>
      <w:r>
        <w:rPr>
          <w:rFonts w:ascii="Arial" w:eastAsiaTheme="minorHAnsi" w:hAnsi="Arial" w:cs="Arial"/>
          <w:iCs/>
          <w:color w:val="000000" w:themeColor="text1"/>
          <w:sz w:val="22"/>
          <w:szCs w:val="22"/>
        </w:rPr>
        <w:t xml:space="preserve"> provides that:</w:t>
      </w:r>
    </w:p>
    <w:p>
      <w:pPr>
        <w:pStyle w:val="ListParagraph"/>
        <w:tabs>
          <w:tab w:val="left" w:pos="-3060"/>
        </w:tabs>
        <w:ind w:left="792" w:right="18"/>
        <w:jc w:val="both"/>
        <w:rPr>
          <w:rFonts w:ascii="Arial" w:eastAsia="Calibri" w:hAnsi="Arial" w:cs="Arial"/>
          <w:bCs/>
          <w:color w:val="000000" w:themeColor="text1"/>
          <w:sz w:val="22"/>
          <w:szCs w:val="22"/>
        </w:rPr>
      </w:pPr>
    </w:p>
    <w:p>
      <w:pPr>
        <w:pStyle w:val="ListParagraph"/>
        <w:ind w:left="1985" w:right="702"/>
        <w:contextualSpacing/>
        <w:jc w:val="both"/>
        <w:rPr>
          <w:rFonts w:ascii="Arial" w:hAnsi="Arial" w:cs="Arial"/>
          <w:i/>
          <w:iCs/>
          <w:color w:val="000000" w:themeColor="text1"/>
          <w:sz w:val="22"/>
          <w:szCs w:val="22"/>
        </w:rPr>
      </w:pPr>
      <w:r>
        <w:rPr>
          <w:rFonts w:ascii="Arial" w:eastAsiaTheme="minorHAnsi" w:hAnsi="Arial" w:cs="Arial"/>
          <w:i/>
          <w:iCs/>
          <w:color w:val="000000" w:themeColor="text1"/>
          <w:sz w:val="22"/>
          <w:szCs w:val="22"/>
        </w:rPr>
        <w:t>Verifiability helps assure that information faithfully represents the economic phenomena it purports to represent. Verifiability means that different knowledgeable and independent observers could reach consensus, although not necessarily complete agreement, that a particular depiction is a faithful representation. Quantified information need not be a single point estimate to be verifiable. A range of possible amounts and the related probabilities can also be verified.</w:t>
      </w:r>
    </w:p>
    <w:p>
      <w:pPr>
        <w:pStyle w:val="ListParagraph"/>
        <w:ind w:left="1440"/>
        <w:jc w:val="both"/>
        <w:rPr>
          <w:rFonts w:ascii="Arial" w:hAnsi="Arial" w:cs="Arial"/>
          <w:i/>
          <w:color w:val="000000" w:themeColor="text1"/>
          <w:sz w:val="22"/>
          <w:szCs w:val="22"/>
        </w:rPr>
      </w:pPr>
    </w:p>
    <w:p>
      <w:pPr>
        <w:pStyle w:val="ListParagraph"/>
        <w:numPr>
          <w:ilvl w:val="1"/>
          <w:numId w:val="16"/>
        </w:numPr>
        <w:ind w:left="1418" w:hanging="709"/>
        <w:jc w:val="both"/>
        <w:rPr>
          <w:rFonts w:ascii="Arial" w:hAnsi="Arial" w:cs="Arial"/>
          <w:i/>
          <w:color w:val="000000" w:themeColor="text1"/>
          <w:sz w:val="22"/>
          <w:szCs w:val="22"/>
        </w:rPr>
      </w:pPr>
      <w:r>
        <w:rPr>
          <w:rFonts w:ascii="Arial" w:hAnsi="Arial" w:cs="Arial"/>
          <w:iCs/>
          <w:color w:val="000000" w:themeColor="text1"/>
          <w:sz w:val="22"/>
          <w:szCs w:val="22"/>
          <w:lang w:val="en-PH" w:eastAsia="ar-SA"/>
        </w:rPr>
        <w:t>Review of the submitted documents revealed that four (4) sub-accounts of AR totaling P47.467 million were not supported with complete SLs, schedules, i.e. Aging of AR, details shown in Table 5</w:t>
      </w:r>
      <w:r>
        <w:rPr>
          <w:rFonts w:ascii="Arial" w:hAnsi="Arial" w:cs="Arial"/>
          <w:color w:val="000000" w:themeColor="text1"/>
          <w:sz w:val="22"/>
          <w:szCs w:val="22"/>
        </w:rPr>
        <w:t xml:space="preserve">. </w:t>
      </w:r>
    </w:p>
    <w:p>
      <w:pPr>
        <w:pStyle w:val="ListParagraph"/>
        <w:ind w:left="1440"/>
        <w:jc w:val="both"/>
        <w:rPr>
          <w:rFonts w:ascii="Arial" w:hAnsi="Arial" w:cs="Arial"/>
          <w:color w:val="000000" w:themeColor="text1"/>
          <w:sz w:val="22"/>
          <w:szCs w:val="22"/>
        </w:rPr>
      </w:pPr>
    </w:p>
    <w:p>
      <w:pPr>
        <w:pStyle w:val="ListParagraph"/>
        <w:jc w:val="center"/>
        <w:rPr>
          <w:rFonts w:ascii="Arial" w:hAnsi="Arial" w:cs="Arial"/>
          <w:b/>
          <w:color w:val="000000" w:themeColor="text1"/>
          <w:sz w:val="20"/>
          <w:szCs w:val="20"/>
        </w:rPr>
      </w:pPr>
      <w:r>
        <w:rPr>
          <w:rFonts w:ascii="Arial" w:hAnsi="Arial" w:cs="Arial"/>
          <w:b/>
          <w:color w:val="000000" w:themeColor="text1"/>
          <w:sz w:val="20"/>
          <w:szCs w:val="20"/>
        </w:rPr>
        <w:t xml:space="preserve">Table 5- AR Sub-accounts without SLs and Supporting Schedule  </w:t>
      </w:r>
    </w:p>
    <w:p>
      <w:pPr>
        <w:pStyle w:val="ListParagraph"/>
        <w:ind w:left="1440"/>
        <w:jc w:val="center"/>
        <w:rPr>
          <w:rFonts w:ascii="Arial" w:hAnsi="Arial" w:cs="Arial"/>
          <w:b/>
          <w:color w:val="000000" w:themeColor="text1"/>
          <w:sz w:val="20"/>
          <w:szCs w:val="20"/>
        </w:rPr>
      </w:pPr>
    </w:p>
    <w:tbl>
      <w:tblPr>
        <w:tblStyle w:val="TableGrid"/>
        <w:tblW w:w="783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0"/>
        <w:gridCol w:w="2250"/>
        <w:gridCol w:w="1800"/>
      </w:tblGrid>
      <w:tr>
        <w:tc>
          <w:tcPr>
            <w:tcW w:w="3780" w:type="dxa"/>
            <w:tcBorders>
              <w:top w:val="single" w:sz="4" w:space="0" w:color="auto"/>
              <w:bottom w:val="single" w:sz="4" w:space="0" w:color="auto"/>
            </w:tcBorders>
            <w:vAlign w:val="bottom"/>
          </w:tcPr>
          <w:p>
            <w:pPr>
              <w:ind w:left="-110"/>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Account Name</w:t>
            </w:r>
          </w:p>
        </w:tc>
        <w:tc>
          <w:tcPr>
            <w:tcW w:w="2250" w:type="dxa"/>
            <w:tcBorders>
              <w:top w:val="single" w:sz="4" w:space="0" w:color="auto"/>
              <w:bottom w:val="single" w:sz="4" w:space="0" w:color="auto"/>
            </w:tcBorders>
            <w:vAlign w:val="bottom"/>
          </w:tcPr>
          <w:p>
            <w:pPr>
              <w:ind w:left="-110"/>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Account Code</w:t>
            </w:r>
          </w:p>
        </w:tc>
        <w:tc>
          <w:tcPr>
            <w:tcW w:w="1800" w:type="dxa"/>
            <w:tcBorders>
              <w:top w:val="single" w:sz="4" w:space="0" w:color="auto"/>
              <w:bottom w:val="single" w:sz="4" w:space="0" w:color="auto"/>
            </w:tcBorders>
            <w:vAlign w:val="bottom"/>
          </w:tcPr>
          <w:p>
            <w:pPr>
              <w:ind w:right="-50"/>
              <w:jc w:val="right"/>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Balance as of December 31, 2020</w:t>
            </w:r>
          </w:p>
        </w:tc>
      </w:tr>
      <w:tr>
        <w:trPr>
          <w:trHeight w:val="233"/>
        </w:trPr>
        <w:tc>
          <w:tcPr>
            <w:tcW w:w="3780" w:type="dxa"/>
            <w:tcBorders>
              <w:top w:val="single" w:sz="4" w:space="0" w:color="auto"/>
            </w:tcBorders>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Mini Sweepstakes</w:t>
            </w:r>
          </w:p>
        </w:tc>
        <w:tc>
          <w:tcPr>
            <w:tcW w:w="2250" w:type="dxa"/>
            <w:tcBorders>
              <w:top w:val="single" w:sz="4" w:space="0" w:color="auto"/>
            </w:tcBorders>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10301010-00-001-000001</w:t>
            </w:r>
          </w:p>
        </w:tc>
        <w:tc>
          <w:tcPr>
            <w:tcW w:w="1800" w:type="dxa"/>
            <w:tcBorders>
              <w:top w:val="single" w:sz="4" w:space="0" w:color="auto"/>
            </w:tcBorders>
          </w:tcPr>
          <w:p>
            <w:pPr>
              <w:ind w:right="-5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P   3,556,245.82</w:t>
            </w:r>
          </w:p>
        </w:tc>
      </w:tr>
      <w:tr>
        <w:tc>
          <w:tcPr>
            <w:tcW w:w="3780" w:type="dxa"/>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Partner Tayo-Mini SW</w:t>
            </w:r>
          </w:p>
        </w:tc>
        <w:tc>
          <w:tcPr>
            <w:tcW w:w="2250" w:type="dxa"/>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10301010-00-001-000011</w:t>
            </w:r>
          </w:p>
        </w:tc>
        <w:tc>
          <w:tcPr>
            <w:tcW w:w="1800" w:type="dxa"/>
          </w:tcPr>
          <w:p>
            <w:pPr>
              <w:ind w:right="-5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9,568,698.00</w:t>
            </w:r>
          </w:p>
        </w:tc>
      </w:tr>
      <w:tr>
        <w:tc>
          <w:tcPr>
            <w:tcW w:w="3780" w:type="dxa"/>
          </w:tcPr>
          <w:p>
            <w:pPr>
              <w:ind w:left="-110"/>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 xml:space="preserve">AR- Powerball - Instant Sweepstakes  Scratch It                               </w:t>
            </w:r>
          </w:p>
        </w:tc>
        <w:tc>
          <w:tcPr>
            <w:tcW w:w="2250" w:type="dxa"/>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10301010-00-006-000001</w:t>
            </w:r>
          </w:p>
        </w:tc>
        <w:tc>
          <w:tcPr>
            <w:tcW w:w="1800" w:type="dxa"/>
          </w:tcPr>
          <w:p>
            <w:pPr>
              <w:ind w:right="-5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60,923,004.11</w:t>
            </w:r>
          </w:p>
        </w:tc>
      </w:tr>
      <w:tr>
        <w:tc>
          <w:tcPr>
            <w:tcW w:w="3780" w:type="dxa"/>
            <w:tcBorders>
              <w:bottom w:val="single" w:sz="4" w:space="0" w:color="auto"/>
            </w:tcBorders>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AR- Peryahan (NCR)</w:t>
            </w:r>
          </w:p>
        </w:tc>
        <w:tc>
          <w:tcPr>
            <w:tcW w:w="2250" w:type="dxa"/>
            <w:tcBorders>
              <w:bottom w:val="single" w:sz="4" w:space="0" w:color="auto"/>
            </w:tcBorders>
          </w:tcPr>
          <w:p>
            <w:pPr>
              <w:ind w:left="-110"/>
              <w:jc w:val="both"/>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10301010-00-005-000001</w:t>
            </w:r>
          </w:p>
        </w:tc>
        <w:tc>
          <w:tcPr>
            <w:tcW w:w="1800" w:type="dxa"/>
            <w:tcBorders>
              <w:bottom w:val="single" w:sz="4" w:space="0" w:color="auto"/>
            </w:tcBorders>
          </w:tcPr>
          <w:p>
            <w:pPr>
              <w:ind w:right="-50"/>
              <w:jc w:val="right"/>
              <w:rPr>
                <w:rFonts w:ascii="Arial Narrow" w:hAnsi="Arial Narrow" w:cs="Arial"/>
                <w:color w:val="000000" w:themeColor="text1"/>
                <w:sz w:val="20"/>
                <w:szCs w:val="20"/>
                <w:lang w:val="en-PH" w:eastAsia="ar-SA"/>
              </w:rPr>
            </w:pPr>
            <w:r>
              <w:rPr>
                <w:rFonts w:ascii="Arial Narrow" w:hAnsi="Arial Narrow" w:cs="Arial"/>
                <w:color w:val="000000" w:themeColor="text1"/>
                <w:sz w:val="20"/>
                <w:szCs w:val="20"/>
                <w:lang w:val="en-PH" w:eastAsia="ar-SA"/>
              </w:rPr>
              <w:t>(26,581,132.37)</w:t>
            </w:r>
          </w:p>
        </w:tc>
      </w:tr>
      <w:tr>
        <w:tc>
          <w:tcPr>
            <w:tcW w:w="6030" w:type="dxa"/>
            <w:gridSpan w:val="2"/>
            <w:tcBorders>
              <w:top w:val="single" w:sz="4" w:space="0" w:color="auto"/>
              <w:bottom w:val="double" w:sz="4" w:space="0" w:color="auto"/>
            </w:tcBorders>
          </w:tcPr>
          <w:p>
            <w:pPr>
              <w:ind w:left="-110"/>
              <w:jc w:val="both"/>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Total</w:t>
            </w:r>
          </w:p>
        </w:tc>
        <w:tc>
          <w:tcPr>
            <w:tcW w:w="1800" w:type="dxa"/>
            <w:tcBorders>
              <w:top w:val="single" w:sz="4" w:space="0" w:color="auto"/>
              <w:bottom w:val="double" w:sz="4" w:space="0" w:color="auto"/>
            </w:tcBorders>
          </w:tcPr>
          <w:p>
            <w:pPr>
              <w:ind w:right="-50"/>
              <w:jc w:val="right"/>
              <w:rPr>
                <w:rFonts w:ascii="Arial Narrow" w:hAnsi="Arial Narrow" w:cs="Arial"/>
                <w:b/>
                <w:color w:val="000000" w:themeColor="text1"/>
                <w:sz w:val="20"/>
                <w:szCs w:val="20"/>
                <w:lang w:val="en-PH" w:eastAsia="ar-SA"/>
              </w:rPr>
            </w:pPr>
            <w:r>
              <w:rPr>
                <w:rFonts w:ascii="Arial Narrow" w:hAnsi="Arial Narrow" w:cs="Arial"/>
                <w:b/>
                <w:color w:val="000000" w:themeColor="text1"/>
                <w:sz w:val="20"/>
                <w:szCs w:val="20"/>
                <w:lang w:val="en-PH" w:eastAsia="ar-SA"/>
              </w:rPr>
              <w:t>P 47,466,815.56</w:t>
            </w:r>
          </w:p>
        </w:tc>
      </w:tr>
    </w:tbl>
    <w:p>
      <w:pPr>
        <w:pStyle w:val="ListParagraph"/>
        <w:ind w:left="1440"/>
        <w:jc w:val="both"/>
        <w:rPr>
          <w:rFonts w:ascii="Arial" w:hAnsi="Arial" w:cs="Arial"/>
          <w:i/>
          <w:color w:val="000000" w:themeColor="text1"/>
          <w:sz w:val="22"/>
          <w:szCs w:val="22"/>
        </w:rPr>
      </w:pPr>
    </w:p>
    <w:p>
      <w:pPr>
        <w:pStyle w:val="ListParagraph"/>
        <w:numPr>
          <w:ilvl w:val="1"/>
          <w:numId w:val="16"/>
        </w:numPr>
        <w:ind w:left="1418" w:hanging="709"/>
        <w:jc w:val="both"/>
        <w:rPr>
          <w:rFonts w:ascii="Arial" w:hAnsi="Arial" w:cs="Arial"/>
          <w:i/>
          <w:color w:val="000000" w:themeColor="text1"/>
          <w:sz w:val="22"/>
          <w:szCs w:val="22"/>
        </w:rPr>
      </w:pPr>
      <w:r>
        <w:rPr>
          <w:rFonts w:ascii="Arial" w:hAnsi="Arial" w:cs="Arial"/>
          <w:color w:val="000000" w:themeColor="text1"/>
          <w:sz w:val="22"/>
          <w:szCs w:val="22"/>
          <w:lang w:val="en-PH" w:eastAsia="ar-SA"/>
        </w:rPr>
        <w:t xml:space="preserve">Due to inadequate SLs  and lack of supporting schedules, the accuracy of the balances of AR sub-accounts  totaling P47.467 million could not be verified, contrary to  QC26 of the </w:t>
      </w:r>
      <w:r>
        <w:rPr>
          <w:rFonts w:ascii="Arial" w:hAnsi="Arial" w:cs="Arial"/>
          <w:bCs/>
          <w:color w:val="000000" w:themeColor="text1"/>
          <w:sz w:val="22"/>
          <w:szCs w:val="22"/>
        </w:rPr>
        <w:t>CFGPFR and</w:t>
      </w:r>
      <w:r>
        <w:rPr>
          <w:rFonts w:ascii="Arial" w:hAnsi="Arial" w:cs="Arial"/>
          <w:color w:val="000000" w:themeColor="text1"/>
          <w:sz w:val="22"/>
          <w:szCs w:val="22"/>
          <w:lang w:val="en-PH" w:eastAsia="ar-SA"/>
        </w:rPr>
        <w:t xml:space="preserve"> Section 41(2) of PD No. 1445.</w:t>
      </w:r>
    </w:p>
    <w:p>
      <w:pPr>
        <w:pStyle w:val="ListParagraph"/>
        <w:rPr>
          <w:rFonts w:ascii="Arial" w:hAnsi="Arial" w:cs="Arial"/>
          <w:i/>
          <w:sz w:val="22"/>
          <w:szCs w:val="22"/>
        </w:rPr>
      </w:pPr>
    </w:p>
    <w:p>
      <w:pPr>
        <w:pStyle w:val="ListParagraph"/>
        <w:numPr>
          <w:ilvl w:val="1"/>
          <w:numId w:val="16"/>
        </w:numPr>
        <w:ind w:left="1418" w:hanging="709"/>
        <w:jc w:val="both"/>
        <w:rPr>
          <w:rFonts w:ascii="Arial" w:hAnsi="Arial" w:cs="Arial"/>
          <w:i/>
          <w:color w:val="000000" w:themeColor="text1"/>
          <w:sz w:val="22"/>
          <w:szCs w:val="22"/>
        </w:rPr>
      </w:pPr>
      <w:r>
        <w:rPr>
          <w:rFonts w:ascii="Arial" w:hAnsi="Arial" w:cs="Arial"/>
          <w:b/>
          <w:bCs/>
          <w:color w:val="000000" w:themeColor="text1"/>
          <w:sz w:val="22"/>
          <w:szCs w:val="22"/>
          <w:lang w:val="en-PH" w:eastAsia="ar-SA"/>
        </w:rPr>
        <w:lastRenderedPageBreak/>
        <w:t>We recommended that Management require the ABD to maintain complete SLs and prepare schedules of the AR sub-accounts totaling P47.467 million, and submit the same to the Audit Team for verification/validation.</w:t>
      </w:r>
    </w:p>
    <w:p>
      <w:pPr>
        <w:pStyle w:val="ListParagraph"/>
        <w:rPr>
          <w:rFonts w:ascii="Arial" w:hAnsi="Arial" w:cs="Arial"/>
          <w:i/>
          <w:sz w:val="22"/>
          <w:szCs w:val="22"/>
        </w:rPr>
      </w:pPr>
    </w:p>
    <w:p>
      <w:pPr>
        <w:pStyle w:val="ListParagraph"/>
        <w:numPr>
          <w:ilvl w:val="1"/>
          <w:numId w:val="16"/>
        </w:numPr>
        <w:ind w:left="1418" w:hanging="709"/>
        <w:jc w:val="both"/>
        <w:rPr>
          <w:rFonts w:ascii="Arial" w:hAnsi="Arial" w:cs="Arial"/>
          <w:i/>
          <w:sz w:val="22"/>
          <w:szCs w:val="22"/>
        </w:rPr>
      </w:pPr>
      <w:r>
        <w:rPr>
          <w:rFonts w:ascii="Arial" w:hAnsi="Arial" w:cs="Arial"/>
          <w:sz w:val="22"/>
          <w:szCs w:val="22"/>
        </w:rPr>
        <w:t>Management informed that they have directed the ABD to e</w:t>
      </w:r>
      <w:r>
        <w:rPr>
          <w:rFonts w:ascii="Arial" w:hAnsi="Arial" w:cs="Arial"/>
          <w:sz w:val="22"/>
          <w:szCs w:val="22"/>
          <w:lang w:val="en-PH"/>
        </w:rPr>
        <w:t>nsure that SLs are updated and complete and should support all amounts in the GL accurately.</w:t>
      </w:r>
    </w:p>
    <w:p>
      <w:pPr>
        <w:spacing w:after="0" w:line="240" w:lineRule="auto"/>
        <w:jc w:val="both"/>
        <w:rPr>
          <w:rFonts w:ascii="Arial" w:hAnsi="Arial" w:cs="Arial"/>
        </w:rPr>
      </w:pPr>
    </w:p>
    <w:p>
      <w:pPr>
        <w:pStyle w:val="ListParagraph"/>
        <w:ind w:left="1440"/>
        <w:jc w:val="both"/>
        <w:rPr>
          <w:rFonts w:ascii="Arial" w:hAnsi="Arial" w:cs="Arial"/>
          <w:sz w:val="22"/>
          <w:szCs w:val="22"/>
        </w:rPr>
      </w:pPr>
    </w:p>
    <w:p>
      <w:pPr>
        <w:pStyle w:val="ListParagraph"/>
        <w:numPr>
          <w:ilvl w:val="0"/>
          <w:numId w:val="1"/>
        </w:numPr>
        <w:ind w:left="720" w:hanging="720"/>
        <w:jc w:val="both"/>
        <w:rPr>
          <w:rFonts w:ascii="Arial" w:hAnsi="Arial" w:cs="Arial"/>
          <w:b/>
          <w:color w:val="000000" w:themeColor="text1"/>
          <w:sz w:val="22"/>
          <w:szCs w:val="22"/>
        </w:rPr>
      </w:pPr>
      <w:r>
        <w:rPr>
          <w:rFonts w:ascii="Arial" w:hAnsi="Arial" w:cs="Arial"/>
          <w:b/>
          <w:color w:val="000000" w:themeColor="text1"/>
          <w:sz w:val="22"/>
          <w:szCs w:val="22"/>
        </w:rPr>
        <w:t xml:space="preserve">The faithful representation in the financial statements of the balance of the Cash and Cash Equivalents account in the amount of P14.206 billion as of December 31, 2020 was not established due to various deficiencies enumerated below, contrary to Paragraph 15 of PAS 1 and QC12 of the </w:t>
      </w:r>
      <w:r>
        <w:rPr>
          <w:rFonts w:ascii="Arial" w:hAnsi="Arial" w:cs="Arial"/>
          <w:b/>
          <w:bCs/>
          <w:color w:val="000000" w:themeColor="text1"/>
          <w:sz w:val="22"/>
          <w:szCs w:val="22"/>
        </w:rPr>
        <w:t>CFGPFR</w:t>
      </w:r>
      <w:r>
        <w:rPr>
          <w:rFonts w:ascii="Arial" w:hAnsi="Arial" w:cs="Arial"/>
          <w:b/>
          <w:color w:val="000000" w:themeColor="text1"/>
          <w:sz w:val="22"/>
          <w:szCs w:val="22"/>
        </w:rPr>
        <w:t>:</w:t>
      </w:r>
    </w:p>
    <w:p>
      <w:pPr>
        <w:pStyle w:val="ListParagraph"/>
        <w:ind w:left="576"/>
        <w:jc w:val="both"/>
        <w:rPr>
          <w:rFonts w:ascii="Arial" w:hAnsi="Arial" w:cs="Arial"/>
          <w:b/>
          <w:color w:val="000000" w:themeColor="text1"/>
          <w:sz w:val="22"/>
          <w:szCs w:val="22"/>
        </w:rPr>
      </w:pPr>
    </w:p>
    <w:p>
      <w:pPr>
        <w:pStyle w:val="ListParagraph"/>
        <w:numPr>
          <w:ilvl w:val="0"/>
          <w:numId w:val="5"/>
        </w:numPr>
        <w:ind w:left="1418" w:hanging="709"/>
        <w:jc w:val="both"/>
        <w:rPr>
          <w:rFonts w:ascii="Arial" w:hAnsi="Arial" w:cs="Arial"/>
          <w:b/>
          <w:color w:val="000000" w:themeColor="text1"/>
          <w:sz w:val="22"/>
          <w:szCs w:val="22"/>
        </w:rPr>
      </w:pPr>
      <w:r>
        <w:rPr>
          <w:rFonts w:ascii="Arial" w:hAnsi="Arial" w:cs="Arial"/>
          <w:b/>
          <w:color w:val="000000" w:themeColor="text1"/>
          <w:sz w:val="22"/>
          <w:szCs w:val="22"/>
        </w:rPr>
        <w:t>Discrepancies of P23.778 million and P46.930 million between the results of confirmation of the active bank accounts maintained for the Operating Fund (OF) &amp; Main Account (MA) and the Charity Fund (CF) &amp; Prize Fund (PF), respectively, and the corresponding balances of the subject bank accounts per GL as of December 31, 2020;</w:t>
      </w:r>
    </w:p>
    <w:p>
      <w:pPr>
        <w:pStyle w:val="ListParagraph"/>
        <w:ind w:left="1418" w:hanging="709"/>
        <w:jc w:val="both"/>
        <w:rPr>
          <w:rFonts w:ascii="Arial" w:hAnsi="Arial" w:cs="Arial"/>
          <w:b/>
          <w:color w:val="000000" w:themeColor="text1"/>
          <w:sz w:val="22"/>
          <w:szCs w:val="22"/>
        </w:rPr>
      </w:pPr>
    </w:p>
    <w:p>
      <w:pPr>
        <w:pStyle w:val="Title"/>
        <w:numPr>
          <w:ilvl w:val="0"/>
          <w:numId w:val="5"/>
        </w:numPr>
        <w:ind w:left="1418" w:hanging="709"/>
        <w:jc w:val="both"/>
        <w:rPr>
          <w:rFonts w:ascii="Arial" w:hAnsi="Arial" w:cs="Arial"/>
          <w:color w:val="000000" w:themeColor="text1"/>
          <w:sz w:val="22"/>
          <w:szCs w:val="22"/>
        </w:rPr>
      </w:pPr>
      <w:r>
        <w:rPr>
          <w:rFonts w:ascii="Arial" w:hAnsi="Arial" w:cs="Arial"/>
          <w:color w:val="000000" w:themeColor="text1"/>
          <w:sz w:val="22"/>
          <w:szCs w:val="22"/>
        </w:rPr>
        <w:t xml:space="preserve">Journal Entry Vouchers (JEVs) effecting the adjusting entries totaling P59.681 million representing prior years’ book reconciling items noted in the bank reconciliation statements had incomplete and/or no supporting documents, contrary to Appendix 36 (C) of the GAM, Volume II and QC26 of the </w:t>
      </w:r>
      <w:r>
        <w:rPr>
          <w:rFonts w:ascii="Arial" w:hAnsi="Arial" w:cs="Arial"/>
          <w:bCs/>
          <w:color w:val="000000" w:themeColor="text1"/>
          <w:sz w:val="22"/>
          <w:szCs w:val="22"/>
        </w:rPr>
        <w:t>CFGPF</w:t>
      </w:r>
      <w:r>
        <w:rPr>
          <w:rFonts w:ascii="Arial" w:hAnsi="Arial" w:cs="Arial"/>
          <w:color w:val="000000" w:themeColor="text1"/>
          <w:sz w:val="22"/>
          <w:szCs w:val="22"/>
        </w:rPr>
        <w:t>R; and</w:t>
      </w:r>
    </w:p>
    <w:p>
      <w:pPr>
        <w:pStyle w:val="ListParagraph"/>
        <w:rPr>
          <w:rFonts w:ascii="Arial" w:eastAsia="Calibri" w:hAnsi="Arial" w:cs="Arial"/>
          <w:b/>
          <w:color w:val="000000" w:themeColor="text1"/>
          <w:sz w:val="22"/>
          <w:szCs w:val="22"/>
        </w:rPr>
      </w:pPr>
    </w:p>
    <w:p>
      <w:pPr>
        <w:pStyle w:val="ListParagraph"/>
        <w:numPr>
          <w:ilvl w:val="0"/>
          <w:numId w:val="5"/>
        </w:numPr>
        <w:ind w:left="1418" w:hanging="709"/>
        <w:jc w:val="both"/>
        <w:rPr>
          <w:rFonts w:ascii="Arial" w:hAnsi="Arial" w:cs="Arial"/>
          <w:b/>
          <w:color w:val="000000" w:themeColor="text1"/>
          <w:sz w:val="22"/>
          <w:szCs w:val="22"/>
        </w:rPr>
      </w:pPr>
      <w:r>
        <w:rPr>
          <w:rFonts w:ascii="Arial" w:eastAsia="Calibri" w:hAnsi="Arial" w:cs="Arial"/>
          <w:b/>
          <w:color w:val="000000" w:themeColor="text1"/>
          <w:sz w:val="22"/>
          <w:szCs w:val="22"/>
        </w:rPr>
        <w:t xml:space="preserve">Three (3) bank accounts maintained with the different depository banks for the various PCSO Branches and Head Office, which were already closed per bank confirmation </w:t>
      </w:r>
      <w:r>
        <w:rPr>
          <w:rFonts w:ascii="Arial" w:hAnsi="Arial" w:cs="Arial"/>
          <w:b/>
          <w:color w:val="000000" w:themeColor="text1"/>
          <w:sz w:val="22"/>
          <w:szCs w:val="22"/>
        </w:rPr>
        <w:t xml:space="preserve">have remaining </w:t>
      </w:r>
      <w:r>
        <w:rPr>
          <w:rFonts w:ascii="Arial" w:eastAsia="Calibri" w:hAnsi="Arial" w:cs="Arial"/>
          <w:b/>
          <w:color w:val="000000" w:themeColor="text1"/>
          <w:sz w:val="22"/>
          <w:szCs w:val="22"/>
        </w:rPr>
        <w:t xml:space="preserve">net abnormal or negative book balance of P20.418 million, </w:t>
      </w:r>
      <w:r>
        <w:rPr>
          <w:rFonts w:ascii="Arial" w:hAnsi="Arial" w:cs="Arial"/>
          <w:b/>
          <w:color w:val="000000" w:themeColor="text1"/>
          <w:sz w:val="22"/>
          <w:szCs w:val="22"/>
        </w:rPr>
        <w:t>which reduced the balance of the Cash in Bank account presented in the financial statements as of December 31, 2020 by the same amount.</w:t>
      </w:r>
    </w:p>
    <w:p>
      <w:pPr>
        <w:pStyle w:val="ListParagraph"/>
        <w:ind w:left="709" w:right="2970"/>
        <w:jc w:val="both"/>
        <w:rPr>
          <w:rFonts w:ascii="Arial" w:hAnsi="Arial" w:cs="Arial"/>
          <w:iCs/>
          <w:sz w:val="22"/>
          <w:szCs w:val="22"/>
        </w:rPr>
      </w:pPr>
    </w:p>
    <w:p>
      <w:pPr>
        <w:pStyle w:val="ListParagraph"/>
        <w:numPr>
          <w:ilvl w:val="1"/>
          <w:numId w:val="17"/>
        </w:numPr>
        <w:ind w:left="1418" w:hanging="709"/>
        <w:jc w:val="both"/>
        <w:rPr>
          <w:rFonts w:ascii="Arial" w:hAnsi="Arial" w:cs="Arial"/>
          <w:b/>
          <w:sz w:val="22"/>
          <w:szCs w:val="22"/>
        </w:rPr>
      </w:pPr>
      <w:r>
        <w:rPr>
          <w:rFonts w:ascii="Arial" w:hAnsi="Arial" w:cs="Arial"/>
          <w:sz w:val="22"/>
          <w:szCs w:val="22"/>
        </w:rPr>
        <w:t>Paragraph 15 of PAS 1 provides:</w:t>
      </w:r>
    </w:p>
    <w:p>
      <w:pPr>
        <w:pStyle w:val="ListParagraph"/>
        <w:ind w:left="1440" w:hanging="720"/>
        <w:jc w:val="both"/>
        <w:rPr>
          <w:rFonts w:ascii="Arial" w:hAnsi="Arial" w:cs="Arial"/>
          <w:b/>
          <w:sz w:val="22"/>
          <w:szCs w:val="22"/>
        </w:rPr>
      </w:pPr>
    </w:p>
    <w:p>
      <w:pPr>
        <w:pStyle w:val="ListParagraph"/>
        <w:ind w:left="1985" w:right="702"/>
        <w:jc w:val="both"/>
        <w:rPr>
          <w:rFonts w:ascii="Arial" w:hAnsi="Arial" w:cs="Arial"/>
          <w:i/>
          <w:sz w:val="22"/>
          <w:szCs w:val="22"/>
        </w:rPr>
      </w:pPr>
      <w:r>
        <w:rPr>
          <w:rFonts w:ascii="Arial" w:hAnsi="Arial" w:cs="Arial"/>
          <w:i/>
          <w:sz w:val="22"/>
          <w:szCs w:val="22"/>
        </w:rPr>
        <w:t>Financial statements shall present fairly the financial position, financial performance &amp; cash flows of an entity. Fair presentation requires the faithful representation of the effects of transactions, other events &amp; conditions in accordance with the definitions and recognition criteria for assets, liabilities, income and expenses set out in the Framework. Xxx.</w:t>
      </w:r>
    </w:p>
    <w:p>
      <w:pPr>
        <w:pStyle w:val="ListParagraph"/>
        <w:ind w:left="1710" w:right="702"/>
        <w:jc w:val="both"/>
        <w:rPr>
          <w:rFonts w:ascii="Arial" w:hAnsi="Arial" w:cs="Arial"/>
          <w:i/>
          <w:sz w:val="22"/>
          <w:szCs w:val="22"/>
        </w:rPr>
      </w:pPr>
    </w:p>
    <w:p>
      <w:pPr>
        <w:pStyle w:val="ListParagraph"/>
        <w:numPr>
          <w:ilvl w:val="1"/>
          <w:numId w:val="17"/>
        </w:numPr>
        <w:ind w:left="1418" w:hanging="709"/>
        <w:jc w:val="both"/>
        <w:rPr>
          <w:rFonts w:ascii="Arial" w:hAnsi="Arial" w:cs="Arial"/>
          <w:i/>
          <w:color w:val="000000" w:themeColor="text1"/>
          <w:sz w:val="22"/>
          <w:szCs w:val="22"/>
        </w:rPr>
      </w:pPr>
      <w:r>
        <w:rPr>
          <w:rFonts w:ascii="Arial" w:hAnsi="Arial" w:cs="Arial"/>
          <w:color w:val="000000" w:themeColor="text1"/>
          <w:sz w:val="22"/>
          <w:szCs w:val="22"/>
        </w:rPr>
        <w:t xml:space="preserve">The </w:t>
      </w:r>
      <w:r>
        <w:rPr>
          <w:rFonts w:ascii="Arial" w:hAnsi="Arial" w:cs="Arial"/>
          <w:bCs/>
          <w:color w:val="000000" w:themeColor="text1"/>
          <w:sz w:val="22"/>
          <w:szCs w:val="22"/>
        </w:rPr>
        <w:t>CFGPFR</w:t>
      </w:r>
      <w:r>
        <w:rPr>
          <w:rFonts w:ascii="Arial" w:hAnsi="Arial" w:cs="Arial"/>
          <w:color w:val="000000" w:themeColor="text1"/>
          <w:sz w:val="22"/>
          <w:szCs w:val="22"/>
        </w:rPr>
        <w:t xml:space="preserve"> enumerates faithful representation as one of the qualitative characteristics of a useful financial information.  As stated under QC12, “</w:t>
      </w:r>
      <w:r>
        <w:rPr>
          <w:rFonts w:ascii="Arial" w:hAnsi="Arial" w:cs="Arial"/>
          <w:i/>
          <w:color w:val="000000" w:themeColor="text1"/>
          <w:sz w:val="22"/>
          <w:szCs w:val="22"/>
        </w:rPr>
        <w:t>to be a perfectly faithful representation, a depiction would have three characteristics. It would be complete, neutral and free from error.”</w:t>
      </w:r>
    </w:p>
    <w:p>
      <w:pPr>
        <w:pStyle w:val="ListParagraph"/>
        <w:rPr>
          <w:rFonts w:ascii="Arial" w:hAnsi="Arial" w:cs="Arial"/>
          <w:sz w:val="22"/>
          <w:szCs w:val="22"/>
        </w:rPr>
      </w:pPr>
    </w:p>
    <w:p>
      <w:pPr>
        <w:pStyle w:val="ListParagraph"/>
        <w:numPr>
          <w:ilvl w:val="1"/>
          <w:numId w:val="17"/>
        </w:numPr>
        <w:ind w:left="1418" w:hanging="709"/>
        <w:jc w:val="both"/>
        <w:rPr>
          <w:rFonts w:ascii="Arial" w:hAnsi="Arial" w:cs="Arial"/>
          <w:i/>
          <w:sz w:val="22"/>
          <w:szCs w:val="22"/>
        </w:rPr>
      </w:pPr>
      <w:r>
        <w:rPr>
          <w:rFonts w:ascii="Arial" w:hAnsi="Arial" w:cs="Arial"/>
          <w:sz w:val="22"/>
          <w:szCs w:val="22"/>
        </w:rPr>
        <w:lastRenderedPageBreak/>
        <w:t>As of December 31, 2020, the Cash and Cash Equivalents account had a balance of P14.206 billion. Audit of the account disclosed various deficiencies discussed below.</w:t>
      </w:r>
    </w:p>
    <w:p>
      <w:pPr>
        <w:spacing w:after="0" w:line="240" w:lineRule="auto"/>
        <w:ind w:left="709" w:right="2970"/>
        <w:contextualSpacing/>
        <w:jc w:val="both"/>
        <w:rPr>
          <w:rFonts w:ascii="Arial" w:hAnsi="Arial" w:cs="Arial"/>
        </w:rPr>
      </w:pPr>
    </w:p>
    <w:p>
      <w:pPr>
        <w:spacing w:after="0" w:line="240" w:lineRule="auto"/>
        <w:ind w:left="709" w:right="2970"/>
        <w:contextualSpacing/>
        <w:jc w:val="both"/>
        <w:rPr>
          <w:rFonts w:ascii="Arial" w:hAnsi="Arial" w:cs="Arial"/>
          <w:i/>
        </w:rPr>
      </w:pPr>
      <w:r>
        <w:rPr>
          <w:rFonts w:ascii="Arial" w:hAnsi="Arial" w:cs="Arial"/>
          <w:i/>
        </w:rPr>
        <w:t>Discrepancies of P23.778 million and P46.930 million between the results of confirmation of the active bank accounts maintained for the OF &amp; MA and the CF &amp; PF, respectively, and the corresponding balances of the subject bank accounts per GL as of December 31, 2020</w:t>
      </w:r>
    </w:p>
    <w:p>
      <w:pPr>
        <w:spacing w:after="0" w:line="240" w:lineRule="auto"/>
        <w:ind w:left="709" w:right="2970"/>
        <w:contextualSpacing/>
        <w:jc w:val="both"/>
        <w:rPr>
          <w:rFonts w:ascii="Arial" w:hAnsi="Arial" w:cs="Arial"/>
        </w:rPr>
      </w:pPr>
    </w:p>
    <w:p>
      <w:pPr>
        <w:pStyle w:val="ListParagraph"/>
        <w:numPr>
          <w:ilvl w:val="1"/>
          <w:numId w:val="17"/>
        </w:numPr>
        <w:ind w:left="1418" w:hanging="709"/>
        <w:jc w:val="both"/>
        <w:rPr>
          <w:rFonts w:ascii="Arial" w:hAnsi="Arial" w:cs="Arial"/>
          <w:b/>
          <w:color w:val="000000" w:themeColor="text1"/>
        </w:rPr>
      </w:pPr>
      <w:r>
        <w:rPr>
          <w:rFonts w:ascii="Arial" w:hAnsi="Arial" w:cs="Arial"/>
          <w:color w:val="000000" w:themeColor="text1"/>
          <w:sz w:val="22"/>
          <w:szCs w:val="22"/>
        </w:rPr>
        <w:t>Results of confirmations with the various depository banks of the OF &amp;  MA as of December 31, 2020 disclosed a discrepancy of P23.778 million when compared with the balances reflected in the GLs, details shown in Table 6.</w:t>
      </w:r>
    </w:p>
    <w:p>
      <w:pPr>
        <w:pStyle w:val="ListParagraph"/>
        <w:ind w:left="1440"/>
        <w:contextualSpacing/>
        <w:jc w:val="both"/>
        <w:rPr>
          <w:rFonts w:ascii="Arial" w:hAnsi="Arial" w:cs="Arial"/>
          <w:b/>
          <w:color w:val="000000" w:themeColor="text1"/>
          <w:sz w:val="16"/>
          <w:szCs w:val="16"/>
        </w:rPr>
      </w:pPr>
    </w:p>
    <w:p>
      <w:pPr>
        <w:pStyle w:val="NoSpacing"/>
        <w:ind w:right="-241" w:firstLine="284"/>
        <w:jc w:val="center"/>
        <w:rPr>
          <w:rFonts w:ascii="Arial" w:hAnsi="Arial" w:cs="Arial"/>
          <w:b/>
          <w:color w:val="000000" w:themeColor="text1"/>
          <w:sz w:val="20"/>
          <w:szCs w:val="20"/>
        </w:rPr>
      </w:pPr>
      <w:r>
        <w:rPr>
          <w:rFonts w:ascii="Arial" w:hAnsi="Arial" w:cs="Arial"/>
          <w:b/>
          <w:color w:val="000000" w:themeColor="text1"/>
          <w:sz w:val="20"/>
          <w:szCs w:val="20"/>
        </w:rPr>
        <w:t>Table 6 – Comparison of the Balances per Books vis-a-vis Bank Confirmations</w:t>
      </w:r>
    </w:p>
    <w:p>
      <w:pPr>
        <w:pStyle w:val="NoSpacing"/>
        <w:ind w:right="-241"/>
        <w:jc w:val="center"/>
        <w:rPr>
          <w:rFonts w:ascii="Arial" w:hAnsi="Arial" w:cs="Arial"/>
          <w:b/>
          <w:sz w:val="20"/>
          <w:szCs w:val="20"/>
        </w:rPr>
      </w:pPr>
    </w:p>
    <w:tbl>
      <w:tblPr>
        <w:tblW w:w="5083" w:type="pct"/>
        <w:tblInd w:w="284" w:type="dxa"/>
        <w:tblLayout w:type="fixed"/>
        <w:tblLook w:val="04A0" w:firstRow="1" w:lastRow="0" w:firstColumn="1" w:lastColumn="0" w:noHBand="0" w:noVBand="1"/>
      </w:tblPr>
      <w:tblGrid>
        <w:gridCol w:w="3114"/>
        <w:gridCol w:w="237"/>
        <w:gridCol w:w="1609"/>
        <w:gridCol w:w="236"/>
        <w:gridCol w:w="1744"/>
        <w:gridCol w:w="236"/>
        <w:gridCol w:w="1607"/>
      </w:tblGrid>
      <w:tr>
        <w:trPr>
          <w:trHeight w:val="145"/>
        </w:trPr>
        <w:tc>
          <w:tcPr>
            <w:tcW w:w="1773" w:type="pct"/>
            <w:tcBorders>
              <w:top w:val="single" w:sz="4" w:space="0" w:color="auto"/>
            </w:tcBorders>
            <w:shd w:val="clear" w:color="auto" w:fill="auto"/>
            <w:noWrap/>
            <w:vAlign w:val="bottom"/>
          </w:tcPr>
          <w:p>
            <w:pPr>
              <w:spacing w:after="0" w:line="240" w:lineRule="auto"/>
              <w:ind w:hanging="109"/>
              <w:rPr>
                <w:rFonts w:ascii="Arial Narrow" w:hAnsi="Arial Narrow" w:cs="Arial"/>
                <w:b/>
                <w:color w:val="000000" w:themeColor="text1"/>
                <w:sz w:val="20"/>
                <w:szCs w:val="20"/>
                <w:u w:val="single"/>
              </w:rPr>
            </w:pPr>
            <w:r>
              <w:rPr>
                <w:rFonts w:ascii="Arial Narrow" w:hAnsi="Arial Narrow" w:cs="Arial"/>
                <w:b/>
                <w:bCs/>
                <w:color w:val="000000" w:themeColor="text1"/>
                <w:sz w:val="20"/>
                <w:szCs w:val="20"/>
              </w:rPr>
              <w:t>Account Title</w:t>
            </w:r>
          </w:p>
        </w:tc>
        <w:tc>
          <w:tcPr>
            <w:tcW w:w="1051" w:type="pct"/>
            <w:gridSpan w:val="2"/>
            <w:tcBorders>
              <w:top w:val="single" w:sz="4" w:space="0" w:color="auto"/>
            </w:tcBorders>
            <w:vAlign w:val="bottom"/>
          </w:tcPr>
          <w:p>
            <w:pPr>
              <w:spacing w:after="0" w:line="240" w:lineRule="auto"/>
              <w:jc w:val="right"/>
              <w:rPr>
                <w:rFonts w:ascii="Arial Narrow" w:hAnsi="Arial Narrow" w:cs="Arial"/>
                <w:b/>
                <w:color w:val="000000" w:themeColor="text1"/>
                <w:sz w:val="20"/>
                <w:szCs w:val="20"/>
              </w:rPr>
            </w:pPr>
            <w:r>
              <w:rPr>
                <w:rFonts w:ascii="Arial Narrow" w:hAnsi="Arial Narrow" w:cs="Arial"/>
                <w:b/>
                <w:bCs/>
                <w:color w:val="000000" w:themeColor="text1"/>
                <w:sz w:val="20"/>
                <w:szCs w:val="20"/>
              </w:rPr>
              <w:t xml:space="preserve">Balance per Bank </w:t>
            </w:r>
          </w:p>
        </w:tc>
        <w:tc>
          <w:tcPr>
            <w:tcW w:w="1127" w:type="pct"/>
            <w:gridSpan w:val="2"/>
            <w:tcBorders>
              <w:top w:val="single" w:sz="4" w:space="0" w:color="auto"/>
            </w:tcBorders>
            <w:vAlign w:val="bottom"/>
          </w:tcPr>
          <w:p>
            <w:pPr>
              <w:spacing w:after="0" w:line="240" w:lineRule="auto"/>
              <w:jc w:val="right"/>
              <w:rPr>
                <w:rFonts w:ascii="Arial Narrow" w:hAnsi="Arial Narrow" w:cs="Arial"/>
                <w:b/>
                <w:color w:val="000000" w:themeColor="text1"/>
                <w:sz w:val="20"/>
                <w:szCs w:val="20"/>
              </w:rPr>
            </w:pPr>
            <w:r>
              <w:rPr>
                <w:rFonts w:ascii="Arial Narrow" w:hAnsi="Arial Narrow" w:cs="Arial"/>
                <w:b/>
                <w:bCs/>
                <w:color w:val="000000" w:themeColor="text1"/>
                <w:sz w:val="20"/>
                <w:szCs w:val="20"/>
              </w:rPr>
              <w:t>Balance per Books</w:t>
            </w:r>
          </w:p>
        </w:tc>
        <w:tc>
          <w:tcPr>
            <w:tcW w:w="1049" w:type="pct"/>
            <w:gridSpan w:val="2"/>
            <w:tcBorders>
              <w:top w:val="single" w:sz="4" w:space="0" w:color="auto"/>
            </w:tcBorders>
            <w:vAlign w:val="bottom"/>
          </w:tcPr>
          <w:p>
            <w:pPr>
              <w:spacing w:after="0" w:line="240" w:lineRule="auto"/>
              <w:ind w:right="-78" w:hanging="232"/>
              <w:jc w:val="right"/>
              <w:rPr>
                <w:rFonts w:ascii="Arial Narrow" w:hAnsi="Arial Narrow" w:cs="Arial"/>
                <w:b/>
                <w:color w:val="000000" w:themeColor="text1"/>
                <w:sz w:val="20"/>
                <w:szCs w:val="20"/>
              </w:rPr>
            </w:pPr>
            <w:r>
              <w:rPr>
                <w:rFonts w:ascii="Arial Narrow" w:hAnsi="Arial Narrow" w:cs="Arial"/>
                <w:b/>
                <w:bCs/>
                <w:color w:val="000000" w:themeColor="text1"/>
                <w:sz w:val="20"/>
                <w:szCs w:val="20"/>
              </w:rPr>
              <w:t>Discrepancy</w:t>
            </w:r>
          </w:p>
        </w:tc>
      </w:tr>
      <w:tr>
        <w:trPr>
          <w:trHeight w:val="179"/>
        </w:trPr>
        <w:tc>
          <w:tcPr>
            <w:tcW w:w="1773" w:type="pct"/>
            <w:tcBorders>
              <w:top w:val="single" w:sz="4" w:space="0" w:color="auto"/>
            </w:tcBorders>
            <w:shd w:val="clear" w:color="auto" w:fill="auto"/>
            <w:noWrap/>
            <w:vAlign w:val="bottom"/>
          </w:tcPr>
          <w:p>
            <w:pPr>
              <w:spacing w:after="0" w:line="240" w:lineRule="auto"/>
              <w:ind w:hanging="109"/>
              <w:rPr>
                <w:rFonts w:ascii="Arial Narrow" w:hAnsi="Arial Narrow" w:cs="Arial"/>
                <w:b/>
                <w:color w:val="000000" w:themeColor="text1"/>
                <w:sz w:val="20"/>
                <w:szCs w:val="20"/>
                <w:u w:val="single"/>
              </w:rPr>
            </w:pPr>
            <w:r>
              <w:rPr>
                <w:rFonts w:ascii="Arial Narrow" w:hAnsi="Arial Narrow" w:cs="Arial"/>
                <w:b/>
                <w:color w:val="000000" w:themeColor="text1"/>
                <w:sz w:val="20"/>
                <w:szCs w:val="20"/>
                <w:u w:val="single"/>
              </w:rPr>
              <w:t>Main Account</w:t>
            </w:r>
          </w:p>
        </w:tc>
        <w:tc>
          <w:tcPr>
            <w:tcW w:w="135" w:type="pct"/>
            <w:tcBorders>
              <w:top w:val="single" w:sz="4" w:space="0" w:color="auto"/>
            </w:tcBorders>
            <w:vAlign w:val="bottom"/>
          </w:tcPr>
          <w:p>
            <w:pPr>
              <w:spacing w:after="0" w:line="240" w:lineRule="auto"/>
              <w:ind w:left="-112"/>
              <w:jc w:val="right"/>
              <w:rPr>
                <w:rFonts w:ascii="Arial Narrow" w:hAnsi="Arial Narrow" w:cs="Arial"/>
                <w:color w:val="000000" w:themeColor="text1"/>
                <w:sz w:val="20"/>
                <w:szCs w:val="20"/>
              </w:rPr>
            </w:pPr>
          </w:p>
        </w:tc>
        <w:tc>
          <w:tcPr>
            <w:tcW w:w="916" w:type="pct"/>
            <w:tcBorders>
              <w:top w:val="single" w:sz="4" w:space="0" w:color="auto"/>
            </w:tcBorders>
            <w:vAlign w:val="bottom"/>
          </w:tcPr>
          <w:p>
            <w:pPr>
              <w:spacing w:after="0" w:line="240" w:lineRule="auto"/>
              <w:jc w:val="right"/>
              <w:rPr>
                <w:rFonts w:ascii="Arial Narrow" w:hAnsi="Arial Narrow" w:cs="Arial"/>
                <w:color w:val="000000" w:themeColor="text1"/>
                <w:sz w:val="20"/>
                <w:szCs w:val="20"/>
              </w:rPr>
            </w:pPr>
          </w:p>
        </w:tc>
        <w:tc>
          <w:tcPr>
            <w:tcW w:w="134" w:type="pct"/>
            <w:tcBorders>
              <w:top w:val="single" w:sz="4" w:space="0" w:color="auto"/>
            </w:tcBorders>
            <w:vAlign w:val="bottom"/>
          </w:tcPr>
          <w:p>
            <w:pPr>
              <w:spacing w:after="0" w:line="240" w:lineRule="auto"/>
              <w:ind w:left="-112" w:right="-107"/>
              <w:rPr>
                <w:rFonts w:ascii="Arial Narrow" w:hAnsi="Arial Narrow" w:cs="Arial"/>
                <w:color w:val="000000" w:themeColor="text1"/>
                <w:sz w:val="20"/>
                <w:szCs w:val="20"/>
              </w:rPr>
            </w:pPr>
          </w:p>
        </w:tc>
        <w:tc>
          <w:tcPr>
            <w:tcW w:w="992" w:type="pct"/>
            <w:tcBorders>
              <w:top w:val="single" w:sz="4" w:space="0" w:color="auto"/>
            </w:tcBorders>
            <w:shd w:val="clear" w:color="auto" w:fill="auto"/>
            <w:noWrap/>
            <w:vAlign w:val="bottom"/>
          </w:tcPr>
          <w:p>
            <w:pPr>
              <w:spacing w:after="0" w:line="240" w:lineRule="auto"/>
              <w:jc w:val="right"/>
              <w:rPr>
                <w:rFonts w:ascii="Arial Narrow" w:hAnsi="Arial Narrow" w:cs="Arial"/>
                <w:color w:val="000000" w:themeColor="text1"/>
                <w:sz w:val="20"/>
                <w:szCs w:val="20"/>
              </w:rPr>
            </w:pPr>
          </w:p>
        </w:tc>
        <w:tc>
          <w:tcPr>
            <w:tcW w:w="134" w:type="pct"/>
            <w:tcBorders>
              <w:top w:val="single" w:sz="4" w:space="0" w:color="auto"/>
            </w:tcBorders>
            <w:vAlign w:val="bottom"/>
          </w:tcPr>
          <w:p>
            <w:pPr>
              <w:spacing w:after="0" w:line="240" w:lineRule="auto"/>
              <w:jc w:val="right"/>
              <w:rPr>
                <w:rFonts w:ascii="Arial Narrow" w:hAnsi="Arial Narrow" w:cs="Arial"/>
                <w:color w:val="000000" w:themeColor="text1"/>
                <w:sz w:val="20"/>
                <w:szCs w:val="20"/>
              </w:rPr>
            </w:pPr>
          </w:p>
        </w:tc>
        <w:tc>
          <w:tcPr>
            <w:tcW w:w="915" w:type="pct"/>
            <w:tcBorders>
              <w:top w:val="single" w:sz="4" w:space="0" w:color="auto"/>
            </w:tcBorders>
            <w:vAlign w:val="bottom"/>
          </w:tcPr>
          <w:p>
            <w:pPr>
              <w:spacing w:after="0" w:line="240" w:lineRule="auto"/>
              <w:ind w:right="-78" w:hanging="232"/>
              <w:jc w:val="right"/>
              <w:rPr>
                <w:rFonts w:ascii="Arial Narrow" w:hAnsi="Arial Narrow" w:cs="Arial"/>
                <w:color w:val="000000" w:themeColor="text1"/>
                <w:sz w:val="20"/>
                <w:szCs w:val="20"/>
              </w:rPr>
            </w:pPr>
          </w:p>
        </w:tc>
      </w:tr>
      <w:tr>
        <w:trPr>
          <w:trHeight w:val="94"/>
        </w:trPr>
        <w:tc>
          <w:tcPr>
            <w:tcW w:w="1773" w:type="pct"/>
            <w:shd w:val="clear" w:color="auto" w:fill="auto"/>
            <w:noWrap/>
            <w:vAlign w:val="bottom"/>
          </w:tcPr>
          <w:p>
            <w:pPr>
              <w:spacing w:after="0" w:line="240" w:lineRule="auto"/>
              <w:ind w:left="172" w:hanging="281"/>
              <w:rPr>
                <w:rFonts w:ascii="Arial Narrow" w:hAnsi="Arial Narrow" w:cs="Arial"/>
                <w:color w:val="000000" w:themeColor="text1"/>
                <w:sz w:val="20"/>
                <w:szCs w:val="20"/>
              </w:rPr>
            </w:pPr>
            <w:r>
              <w:rPr>
                <w:rFonts w:ascii="Arial Narrow" w:hAnsi="Arial Narrow" w:cs="Arial"/>
                <w:color w:val="000000" w:themeColor="text1"/>
                <w:sz w:val="20"/>
                <w:szCs w:val="20"/>
              </w:rPr>
              <w:t>CIB-LC-SA- LBP Online Main Account</w:t>
            </w:r>
          </w:p>
        </w:tc>
        <w:tc>
          <w:tcPr>
            <w:tcW w:w="135" w:type="pct"/>
            <w:vAlign w:val="bottom"/>
          </w:tcPr>
          <w:p>
            <w:pPr>
              <w:spacing w:after="0" w:line="240" w:lineRule="auto"/>
              <w:ind w:left="-112"/>
              <w:jc w:val="right"/>
              <w:rPr>
                <w:rFonts w:ascii="Arial Narrow" w:hAnsi="Arial Narrow" w:cs="Arial"/>
                <w:color w:val="000000" w:themeColor="text1"/>
                <w:sz w:val="20"/>
                <w:szCs w:val="20"/>
              </w:rPr>
            </w:pPr>
          </w:p>
        </w:tc>
        <w:tc>
          <w:tcPr>
            <w:tcW w:w="916" w:type="pct"/>
            <w:vAlign w:val="bottom"/>
          </w:tcPr>
          <w:p>
            <w:pPr>
              <w:spacing w:after="0" w:line="240"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P   797,850,391.08</w:t>
            </w:r>
          </w:p>
        </w:tc>
        <w:tc>
          <w:tcPr>
            <w:tcW w:w="134" w:type="pct"/>
            <w:vAlign w:val="bottom"/>
          </w:tcPr>
          <w:p>
            <w:pPr>
              <w:spacing w:after="0" w:line="240" w:lineRule="auto"/>
              <w:ind w:left="-112" w:right="-107"/>
              <w:rPr>
                <w:rFonts w:ascii="Arial Narrow" w:hAnsi="Arial Narrow" w:cs="Arial"/>
                <w:color w:val="000000" w:themeColor="text1"/>
                <w:sz w:val="20"/>
                <w:szCs w:val="20"/>
              </w:rPr>
            </w:pPr>
            <w:r>
              <w:rPr>
                <w:rFonts w:ascii="Arial Narrow" w:hAnsi="Arial Narrow" w:cs="Arial"/>
                <w:color w:val="000000" w:themeColor="text1"/>
                <w:sz w:val="20"/>
                <w:szCs w:val="20"/>
              </w:rPr>
              <w:t xml:space="preserve"> </w:t>
            </w:r>
          </w:p>
        </w:tc>
        <w:tc>
          <w:tcPr>
            <w:tcW w:w="992" w:type="pct"/>
            <w:shd w:val="clear" w:color="auto" w:fill="auto"/>
            <w:noWrap/>
            <w:vAlign w:val="bottom"/>
          </w:tcPr>
          <w:p>
            <w:pPr>
              <w:spacing w:after="0" w:line="240"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P   798,529,458.92 </w:t>
            </w:r>
          </w:p>
        </w:tc>
        <w:tc>
          <w:tcPr>
            <w:tcW w:w="134" w:type="pct"/>
            <w:vAlign w:val="bottom"/>
          </w:tcPr>
          <w:p>
            <w:pPr>
              <w:spacing w:after="0" w:line="240" w:lineRule="auto"/>
              <w:jc w:val="right"/>
              <w:rPr>
                <w:rFonts w:ascii="Arial Narrow" w:hAnsi="Arial Narrow" w:cs="Arial"/>
                <w:color w:val="000000" w:themeColor="text1"/>
                <w:sz w:val="20"/>
                <w:szCs w:val="20"/>
              </w:rPr>
            </w:pPr>
          </w:p>
        </w:tc>
        <w:tc>
          <w:tcPr>
            <w:tcW w:w="915" w:type="pct"/>
            <w:vAlign w:val="bottom"/>
          </w:tcPr>
          <w:p>
            <w:pPr>
              <w:spacing w:after="0" w:line="240" w:lineRule="auto"/>
              <w:ind w:right="-78" w:hanging="232"/>
              <w:jc w:val="right"/>
              <w:rPr>
                <w:rFonts w:ascii="Arial Narrow" w:hAnsi="Arial Narrow" w:cs="Arial"/>
                <w:color w:val="000000" w:themeColor="text1"/>
                <w:sz w:val="20"/>
                <w:szCs w:val="20"/>
              </w:rPr>
            </w:pPr>
            <w:r>
              <w:rPr>
                <w:rFonts w:ascii="Arial Narrow" w:hAnsi="Arial Narrow" w:cs="Arial"/>
                <w:color w:val="000000" w:themeColor="text1"/>
                <w:sz w:val="20"/>
                <w:szCs w:val="20"/>
              </w:rPr>
              <w:t>P    (679,067.84)</w:t>
            </w:r>
          </w:p>
        </w:tc>
      </w:tr>
      <w:tr>
        <w:trPr>
          <w:trHeight w:val="167"/>
        </w:trPr>
        <w:tc>
          <w:tcPr>
            <w:tcW w:w="1773" w:type="pct"/>
            <w:shd w:val="clear" w:color="auto" w:fill="auto"/>
            <w:noWrap/>
            <w:vAlign w:val="bottom"/>
          </w:tcPr>
          <w:p>
            <w:pPr>
              <w:spacing w:after="0" w:line="240" w:lineRule="auto"/>
              <w:ind w:left="172" w:hanging="281"/>
              <w:rPr>
                <w:rFonts w:ascii="Arial Narrow" w:hAnsi="Arial Narrow" w:cs="Arial"/>
                <w:color w:val="000000" w:themeColor="text1"/>
                <w:sz w:val="20"/>
                <w:szCs w:val="20"/>
              </w:rPr>
            </w:pPr>
            <w:r>
              <w:rPr>
                <w:rFonts w:ascii="Arial Narrow" w:hAnsi="Arial Narrow" w:cs="Arial"/>
                <w:color w:val="000000" w:themeColor="text1"/>
                <w:sz w:val="20"/>
                <w:szCs w:val="20"/>
              </w:rPr>
              <w:t>CIB-LC-SA- PNB Online Main Account</w:t>
            </w:r>
          </w:p>
        </w:tc>
        <w:tc>
          <w:tcPr>
            <w:tcW w:w="135" w:type="pct"/>
            <w:vAlign w:val="bottom"/>
          </w:tcPr>
          <w:p>
            <w:pPr>
              <w:spacing w:after="0" w:line="240" w:lineRule="auto"/>
              <w:ind w:left="-112"/>
              <w:jc w:val="right"/>
              <w:rPr>
                <w:rFonts w:ascii="Arial Narrow" w:hAnsi="Arial Narrow" w:cs="Arial"/>
                <w:color w:val="000000" w:themeColor="text1"/>
                <w:sz w:val="20"/>
                <w:szCs w:val="20"/>
              </w:rPr>
            </w:pPr>
          </w:p>
        </w:tc>
        <w:tc>
          <w:tcPr>
            <w:tcW w:w="916" w:type="pct"/>
            <w:vAlign w:val="bottom"/>
          </w:tcPr>
          <w:p>
            <w:pPr>
              <w:spacing w:after="0" w:line="240"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80,568.78</w:t>
            </w:r>
          </w:p>
        </w:tc>
        <w:tc>
          <w:tcPr>
            <w:tcW w:w="134" w:type="pct"/>
            <w:vAlign w:val="bottom"/>
          </w:tcPr>
          <w:p>
            <w:pPr>
              <w:spacing w:after="0" w:line="240" w:lineRule="auto"/>
              <w:ind w:left="-112"/>
              <w:jc w:val="right"/>
              <w:rPr>
                <w:rFonts w:ascii="Arial Narrow" w:hAnsi="Arial Narrow" w:cs="Arial"/>
                <w:color w:val="000000" w:themeColor="text1"/>
                <w:sz w:val="20"/>
                <w:szCs w:val="20"/>
              </w:rPr>
            </w:pPr>
          </w:p>
        </w:tc>
        <w:tc>
          <w:tcPr>
            <w:tcW w:w="992" w:type="pct"/>
            <w:shd w:val="clear" w:color="auto" w:fill="auto"/>
            <w:noWrap/>
            <w:vAlign w:val="bottom"/>
          </w:tcPr>
          <w:p>
            <w:pPr>
              <w:spacing w:after="0" w:line="240"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2,413,044.87</w:t>
            </w:r>
          </w:p>
        </w:tc>
        <w:tc>
          <w:tcPr>
            <w:tcW w:w="134" w:type="pct"/>
            <w:vAlign w:val="bottom"/>
          </w:tcPr>
          <w:p>
            <w:pPr>
              <w:spacing w:after="0" w:line="240" w:lineRule="auto"/>
              <w:jc w:val="right"/>
              <w:rPr>
                <w:rFonts w:ascii="Arial Narrow" w:hAnsi="Arial Narrow" w:cs="Arial"/>
                <w:color w:val="000000" w:themeColor="text1"/>
                <w:sz w:val="20"/>
                <w:szCs w:val="20"/>
              </w:rPr>
            </w:pPr>
          </w:p>
        </w:tc>
        <w:tc>
          <w:tcPr>
            <w:tcW w:w="915" w:type="pct"/>
            <w:vAlign w:val="bottom"/>
          </w:tcPr>
          <w:p>
            <w:pPr>
              <w:spacing w:after="0" w:line="240" w:lineRule="auto"/>
              <w:ind w:right="-78" w:hanging="232"/>
              <w:jc w:val="right"/>
              <w:rPr>
                <w:rFonts w:ascii="Arial Narrow" w:hAnsi="Arial Narrow" w:cs="Arial"/>
                <w:color w:val="000000" w:themeColor="text1"/>
                <w:sz w:val="20"/>
                <w:szCs w:val="20"/>
              </w:rPr>
            </w:pPr>
            <w:r>
              <w:rPr>
                <w:rFonts w:ascii="Arial Narrow" w:hAnsi="Arial Narrow" w:cs="Arial"/>
                <w:color w:val="000000" w:themeColor="text1"/>
                <w:sz w:val="20"/>
                <w:szCs w:val="20"/>
              </w:rPr>
              <w:t>(2,332,476.09)</w:t>
            </w:r>
          </w:p>
        </w:tc>
      </w:tr>
      <w:tr>
        <w:trPr>
          <w:trHeight w:val="153"/>
        </w:trPr>
        <w:tc>
          <w:tcPr>
            <w:tcW w:w="1773" w:type="pct"/>
            <w:shd w:val="clear" w:color="auto" w:fill="auto"/>
            <w:noWrap/>
            <w:vAlign w:val="bottom"/>
          </w:tcPr>
          <w:p>
            <w:pPr>
              <w:spacing w:after="0" w:line="240" w:lineRule="auto"/>
              <w:ind w:left="172" w:hanging="281"/>
              <w:rPr>
                <w:rFonts w:ascii="Arial Narrow" w:hAnsi="Arial Narrow" w:cs="Arial"/>
                <w:b/>
                <w:color w:val="000000" w:themeColor="text1"/>
                <w:sz w:val="20"/>
                <w:szCs w:val="20"/>
                <w:u w:val="single"/>
              </w:rPr>
            </w:pPr>
            <w:r>
              <w:rPr>
                <w:rFonts w:ascii="Arial Narrow" w:hAnsi="Arial Narrow" w:cs="Arial"/>
                <w:b/>
                <w:color w:val="000000" w:themeColor="text1"/>
                <w:sz w:val="20"/>
                <w:szCs w:val="20"/>
                <w:u w:val="single"/>
              </w:rPr>
              <w:t>Operating Fund</w:t>
            </w:r>
          </w:p>
        </w:tc>
        <w:tc>
          <w:tcPr>
            <w:tcW w:w="135" w:type="pct"/>
            <w:vAlign w:val="bottom"/>
          </w:tcPr>
          <w:p>
            <w:pPr>
              <w:spacing w:after="0" w:line="240" w:lineRule="auto"/>
              <w:ind w:left="-112"/>
              <w:jc w:val="right"/>
              <w:rPr>
                <w:rFonts w:ascii="Arial Narrow" w:hAnsi="Arial Narrow" w:cs="Arial"/>
                <w:color w:val="000000" w:themeColor="text1"/>
                <w:sz w:val="20"/>
                <w:szCs w:val="20"/>
              </w:rPr>
            </w:pPr>
          </w:p>
        </w:tc>
        <w:tc>
          <w:tcPr>
            <w:tcW w:w="916" w:type="pct"/>
            <w:vAlign w:val="bottom"/>
          </w:tcPr>
          <w:p>
            <w:pPr>
              <w:spacing w:after="0" w:line="240" w:lineRule="auto"/>
              <w:jc w:val="right"/>
              <w:rPr>
                <w:rFonts w:ascii="Arial Narrow" w:hAnsi="Arial Narrow" w:cs="Arial"/>
                <w:color w:val="000000" w:themeColor="text1"/>
                <w:sz w:val="20"/>
                <w:szCs w:val="20"/>
              </w:rPr>
            </w:pPr>
          </w:p>
        </w:tc>
        <w:tc>
          <w:tcPr>
            <w:tcW w:w="134" w:type="pct"/>
            <w:vAlign w:val="bottom"/>
          </w:tcPr>
          <w:p>
            <w:pPr>
              <w:spacing w:after="0" w:line="240" w:lineRule="auto"/>
              <w:ind w:left="-112"/>
              <w:jc w:val="right"/>
              <w:rPr>
                <w:rFonts w:ascii="Arial Narrow" w:hAnsi="Arial Narrow" w:cs="Arial"/>
                <w:color w:val="000000" w:themeColor="text1"/>
                <w:sz w:val="20"/>
                <w:szCs w:val="20"/>
              </w:rPr>
            </w:pPr>
          </w:p>
        </w:tc>
        <w:tc>
          <w:tcPr>
            <w:tcW w:w="992" w:type="pct"/>
            <w:shd w:val="clear" w:color="auto" w:fill="auto"/>
            <w:noWrap/>
            <w:vAlign w:val="bottom"/>
          </w:tcPr>
          <w:p>
            <w:pPr>
              <w:spacing w:after="0" w:line="240" w:lineRule="auto"/>
              <w:jc w:val="right"/>
              <w:rPr>
                <w:rFonts w:ascii="Arial Narrow" w:hAnsi="Arial Narrow" w:cs="Arial"/>
                <w:color w:val="000000" w:themeColor="text1"/>
                <w:sz w:val="20"/>
                <w:szCs w:val="20"/>
              </w:rPr>
            </w:pPr>
          </w:p>
        </w:tc>
        <w:tc>
          <w:tcPr>
            <w:tcW w:w="134" w:type="pct"/>
            <w:vAlign w:val="bottom"/>
          </w:tcPr>
          <w:p>
            <w:pPr>
              <w:spacing w:after="0" w:line="240" w:lineRule="auto"/>
              <w:jc w:val="right"/>
              <w:rPr>
                <w:rFonts w:ascii="Arial Narrow" w:hAnsi="Arial Narrow" w:cs="Arial"/>
                <w:color w:val="000000" w:themeColor="text1"/>
                <w:sz w:val="20"/>
                <w:szCs w:val="20"/>
              </w:rPr>
            </w:pPr>
          </w:p>
        </w:tc>
        <w:tc>
          <w:tcPr>
            <w:tcW w:w="915" w:type="pct"/>
            <w:vAlign w:val="bottom"/>
          </w:tcPr>
          <w:p>
            <w:pPr>
              <w:spacing w:after="0" w:line="240" w:lineRule="auto"/>
              <w:jc w:val="right"/>
              <w:rPr>
                <w:rFonts w:ascii="Arial Narrow" w:hAnsi="Arial Narrow" w:cs="Arial"/>
                <w:color w:val="000000" w:themeColor="text1"/>
                <w:sz w:val="20"/>
                <w:szCs w:val="20"/>
              </w:rPr>
            </w:pPr>
          </w:p>
        </w:tc>
      </w:tr>
      <w:tr>
        <w:trPr>
          <w:trHeight w:val="300"/>
        </w:trPr>
        <w:tc>
          <w:tcPr>
            <w:tcW w:w="1773" w:type="pct"/>
            <w:shd w:val="clear" w:color="auto" w:fill="auto"/>
            <w:noWrap/>
            <w:vAlign w:val="bottom"/>
          </w:tcPr>
          <w:p>
            <w:pPr>
              <w:spacing w:after="0" w:line="240" w:lineRule="auto"/>
              <w:ind w:left="172" w:hanging="281"/>
              <w:rPr>
                <w:rFonts w:ascii="Arial Narrow" w:hAnsi="Arial Narrow" w:cs="Arial"/>
                <w:color w:val="000000" w:themeColor="text1"/>
                <w:sz w:val="20"/>
                <w:szCs w:val="20"/>
              </w:rPr>
            </w:pPr>
            <w:r>
              <w:rPr>
                <w:rFonts w:ascii="Arial Narrow" w:hAnsi="Arial Narrow" w:cs="Arial"/>
                <w:color w:val="000000" w:themeColor="text1"/>
                <w:sz w:val="20"/>
                <w:szCs w:val="20"/>
              </w:rPr>
              <w:t>CIB-LC-CA- Operating Fund-LBP (E. RODRIGUEZ AVE.)</w:t>
            </w:r>
          </w:p>
        </w:tc>
        <w:tc>
          <w:tcPr>
            <w:tcW w:w="135" w:type="pct"/>
            <w:vAlign w:val="bottom"/>
          </w:tcPr>
          <w:p>
            <w:pPr>
              <w:spacing w:after="0" w:line="240" w:lineRule="auto"/>
              <w:ind w:left="-112"/>
              <w:jc w:val="right"/>
              <w:rPr>
                <w:rFonts w:ascii="Arial Narrow" w:hAnsi="Arial Narrow" w:cs="Arial"/>
                <w:color w:val="000000" w:themeColor="text1"/>
                <w:sz w:val="20"/>
                <w:szCs w:val="20"/>
              </w:rPr>
            </w:pPr>
          </w:p>
        </w:tc>
        <w:tc>
          <w:tcPr>
            <w:tcW w:w="916" w:type="pct"/>
            <w:vAlign w:val="bottom"/>
          </w:tcPr>
          <w:p>
            <w:pPr>
              <w:spacing w:after="0" w:line="240"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438,252,316.26</w:t>
            </w:r>
          </w:p>
        </w:tc>
        <w:tc>
          <w:tcPr>
            <w:tcW w:w="134" w:type="pct"/>
            <w:vAlign w:val="bottom"/>
          </w:tcPr>
          <w:p>
            <w:pPr>
              <w:spacing w:after="0" w:line="240" w:lineRule="auto"/>
              <w:ind w:left="-112"/>
              <w:jc w:val="right"/>
              <w:rPr>
                <w:rFonts w:ascii="Arial Narrow" w:hAnsi="Arial Narrow" w:cs="Arial"/>
                <w:color w:val="000000" w:themeColor="text1"/>
                <w:sz w:val="20"/>
                <w:szCs w:val="20"/>
              </w:rPr>
            </w:pPr>
          </w:p>
        </w:tc>
        <w:tc>
          <w:tcPr>
            <w:tcW w:w="992" w:type="pct"/>
            <w:shd w:val="clear" w:color="auto" w:fill="auto"/>
            <w:noWrap/>
            <w:vAlign w:val="bottom"/>
          </w:tcPr>
          <w:p>
            <w:pPr>
              <w:spacing w:after="0" w:line="240"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412,236,248.59</w:t>
            </w:r>
          </w:p>
        </w:tc>
        <w:tc>
          <w:tcPr>
            <w:tcW w:w="134" w:type="pct"/>
            <w:vAlign w:val="bottom"/>
          </w:tcPr>
          <w:p>
            <w:pPr>
              <w:spacing w:after="0" w:line="240" w:lineRule="auto"/>
              <w:jc w:val="right"/>
              <w:rPr>
                <w:rFonts w:ascii="Arial Narrow" w:hAnsi="Arial Narrow" w:cs="Arial"/>
                <w:color w:val="000000" w:themeColor="text1"/>
                <w:sz w:val="20"/>
                <w:szCs w:val="20"/>
              </w:rPr>
            </w:pPr>
          </w:p>
        </w:tc>
        <w:tc>
          <w:tcPr>
            <w:tcW w:w="915" w:type="pct"/>
            <w:vAlign w:val="bottom"/>
          </w:tcPr>
          <w:p>
            <w:pPr>
              <w:spacing w:after="0" w:line="240" w:lineRule="auto"/>
              <w:ind w:right="-78" w:hanging="91"/>
              <w:jc w:val="right"/>
              <w:rPr>
                <w:rFonts w:ascii="Arial Narrow" w:hAnsi="Arial Narrow" w:cs="Arial"/>
                <w:color w:val="000000" w:themeColor="text1"/>
                <w:sz w:val="20"/>
                <w:szCs w:val="20"/>
              </w:rPr>
            </w:pPr>
            <w:r>
              <w:rPr>
                <w:rFonts w:ascii="Arial Narrow" w:hAnsi="Arial Narrow" w:cs="Arial"/>
                <w:color w:val="000000" w:themeColor="text1"/>
                <w:sz w:val="20"/>
                <w:szCs w:val="20"/>
              </w:rPr>
              <w:t>26,016,067.67</w:t>
            </w:r>
          </w:p>
        </w:tc>
      </w:tr>
      <w:tr>
        <w:trPr>
          <w:trHeight w:val="57"/>
        </w:trPr>
        <w:tc>
          <w:tcPr>
            <w:tcW w:w="1773" w:type="pct"/>
            <w:shd w:val="clear" w:color="auto" w:fill="auto"/>
            <w:noWrap/>
            <w:vAlign w:val="bottom"/>
          </w:tcPr>
          <w:p>
            <w:pPr>
              <w:spacing w:after="0" w:line="240" w:lineRule="auto"/>
              <w:ind w:left="172" w:hanging="281"/>
              <w:rPr>
                <w:rFonts w:ascii="Arial Narrow" w:hAnsi="Arial Narrow" w:cs="Arial"/>
                <w:color w:val="000000" w:themeColor="text1"/>
                <w:sz w:val="20"/>
                <w:szCs w:val="20"/>
              </w:rPr>
            </w:pPr>
            <w:r>
              <w:rPr>
                <w:rFonts w:ascii="Arial Narrow" w:hAnsi="Arial Narrow" w:cs="Arial"/>
                <w:color w:val="000000" w:themeColor="text1"/>
                <w:sz w:val="20"/>
                <w:szCs w:val="20"/>
              </w:rPr>
              <w:t>CIB-LC-CA- Operating Fund-(Combo)-LBP</w:t>
            </w:r>
          </w:p>
        </w:tc>
        <w:tc>
          <w:tcPr>
            <w:tcW w:w="135" w:type="pct"/>
            <w:vAlign w:val="bottom"/>
          </w:tcPr>
          <w:p>
            <w:pPr>
              <w:spacing w:after="0" w:line="240" w:lineRule="auto"/>
              <w:ind w:left="-112"/>
              <w:jc w:val="right"/>
              <w:rPr>
                <w:rFonts w:ascii="Arial Narrow" w:hAnsi="Arial Narrow" w:cs="Arial"/>
                <w:color w:val="000000" w:themeColor="text1"/>
                <w:sz w:val="20"/>
                <w:szCs w:val="20"/>
              </w:rPr>
            </w:pPr>
          </w:p>
        </w:tc>
        <w:tc>
          <w:tcPr>
            <w:tcW w:w="916" w:type="pct"/>
            <w:vAlign w:val="bottom"/>
          </w:tcPr>
          <w:p>
            <w:pPr>
              <w:spacing w:after="0" w:line="240"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192,452,825.98</w:t>
            </w:r>
          </w:p>
        </w:tc>
        <w:tc>
          <w:tcPr>
            <w:tcW w:w="134" w:type="pct"/>
            <w:vAlign w:val="bottom"/>
          </w:tcPr>
          <w:p>
            <w:pPr>
              <w:spacing w:after="0" w:line="240" w:lineRule="auto"/>
              <w:ind w:left="-112"/>
              <w:jc w:val="right"/>
              <w:rPr>
                <w:rFonts w:ascii="Arial Narrow" w:hAnsi="Arial Narrow" w:cs="Arial"/>
                <w:color w:val="000000" w:themeColor="text1"/>
                <w:sz w:val="20"/>
                <w:szCs w:val="20"/>
              </w:rPr>
            </w:pPr>
          </w:p>
        </w:tc>
        <w:tc>
          <w:tcPr>
            <w:tcW w:w="992" w:type="pct"/>
            <w:shd w:val="clear" w:color="auto" w:fill="auto"/>
            <w:noWrap/>
            <w:vAlign w:val="bottom"/>
          </w:tcPr>
          <w:p>
            <w:pPr>
              <w:spacing w:after="0" w:line="240"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 191,764,737.78 </w:t>
            </w:r>
          </w:p>
        </w:tc>
        <w:tc>
          <w:tcPr>
            <w:tcW w:w="134" w:type="pct"/>
            <w:vAlign w:val="bottom"/>
          </w:tcPr>
          <w:p>
            <w:pPr>
              <w:spacing w:after="0" w:line="240" w:lineRule="auto"/>
              <w:jc w:val="right"/>
              <w:rPr>
                <w:rFonts w:ascii="Arial Narrow" w:hAnsi="Arial Narrow" w:cs="Arial"/>
                <w:color w:val="000000" w:themeColor="text1"/>
                <w:sz w:val="20"/>
                <w:szCs w:val="20"/>
              </w:rPr>
            </w:pPr>
          </w:p>
        </w:tc>
        <w:tc>
          <w:tcPr>
            <w:tcW w:w="915" w:type="pct"/>
            <w:vAlign w:val="bottom"/>
          </w:tcPr>
          <w:p>
            <w:pPr>
              <w:spacing w:after="0" w:line="240" w:lineRule="auto"/>
              <w:ind w:right="-78"/>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  688,088.20 </w:t>
            </w:r>
          </w:p>
        </w:tc>
      </w:tr>
      <w:tr>
        <w:trPr>
          <w:trHeight w:val="300"/>
        </w:trPr>
        <w:tc>
          <w:tcPr>
            <w:tcW w:w="1773" w:type="pct"/>
            <w:tcBorders>
              <w:bottom w:val="single" w:sz="4" w:space="0" w:color="auto"/>
            </w:tcBorders>
            <w:shd w:val="clear" w:color="auto" w:fill="auto"/>
            <w:noWrap/>
            <w:vAlign w:val="bottom"/>
          </w:tcPr>
          <w:p>
            <w:pPr>
              <w:spacing w:after="0" w:line="240" w:lineRule="auto"/>
              <w:ind w:left="172" w:hanging="281"/>
              <w:rPr>
                <w:rFonts w:ascii="Arial Narrow" w:hAnsi="Arial Narrow" w:cs="Arial"/>
                <w:color w:val="000000" w:themeColor="text1"/>
                <w:sz w:val="20"/>
                <w:szCs w:val="20"/>
              </w:rPr>
            </w:pPr>
            <w:r>
              <w:rPr>
                <w:rFonts w:ascii="Arial Narrow" w:hAnsi="Arial Narrow" w:cs="Arial"/>
                <w:color w:val="000000" w:themeColor="text1"/>
                <w:sz w:val="20"/>
                <w:szCs w:val="20"/>
              </w:rPr>
              <w:t>CIB-LC-CA-Operating Fund-LBP (STL Remittances)</w:t>
            </w:r>
          </w:p>
        </w:tc>
        <w:tc>
          <w:tcPr>
            <w:tcW w:w="135" w:type="pct"/>
            <w:tcBorders>
              <w:bottom w:val="single" w:sz="4" w:space="0" w:color="auto"/>
            </w:tcBorders>
            <w:vAlign w:val="bottom"/>
          </w:tcPr>
          <w:p>
            <w:pPr>
              <w:spacing w:after="0" w:line="240" w:lineRule="auto"/>
              <w:ind w:left="-112"/>
              <w:jc w:val="right"/>
              <w:rPr>
                <w:rFonts w:ascii="Arial Narrow" w:hAnsi="Arial Narrow" w:cs="Arial"/>
                <w:color w:val="000000" w:themeColor="text1"/>
                <w:sz w:val="20"/>
                <w:szCs w:val="20"/>
              </w:rPr>
            </w:pPr>
          </w:p>
        </w:tc>
        <w:tc>
          <w:tcPr>
            <w:tcW w:w="916" w:type="pct"/>
            <w:tcBorders>
              <w:bottom w:val="single" w:sz="4" w:space="0" w:color="auto"/>
            </w:tcBorders>
            <w:vAlign w:val="bottom"/>
          </w:tcPr>
          <w:p>
            <w:pPr>
              <w:spacing w:after="0" w:line="240"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103,413,976.56</w:t>
            </w:r>
          </w:p>
        </w:tc>
        <w:tc>
          <w:tcPr>
            <w:tcW w:w="134" w:type="pct"/>
            <w:tcBorders>
              <w:bottom w:val="single" w:sz="4" w:space="0" w:color="auto"/>
            </w:tcBorders>
            <w:vAlign w:val="bottom"/>
          </w:tcPr>
          <w:p>
            <w:pPr>
              <w:spacing w:after="0" w:line="240" w:lineRule="auto"/>
              <w:ind w:left="-112"/>
              <w:jc w:val="right"/>
              <w:rPr>
                <w:rFonts w:ascii="Arial Narrow" w:hAnsi="Arial Narrow" w:cs="Arial"/>
                <w:color w:val="000000" w:themeColor="text1"/>
                <w:sz w:val="20"/>
                <w:szCs w:val="20"/>
              </w:rPr>
            </w:pPr>
          </w:p>
        </w:tc>
        <w:tc>
          <w:tcPr>
            <w:tcW w:w="992" w:type="pct"/>
            <w:tcBorders>
              <w:bottom w:val="single" w:sz="4" w:space="0" w:color="auto"/>
            </w:tcBorders>
            <w:shd w:val="clear" w:color="auto" w:fill="auto"/>
            <w:noWrap/>
            <w:vAlign w:val="bottom"/>
          </w:tcPr>
          <w:p>
            <w:pPr>
              <w:spacing w:after="0" w:line="240"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103,328,939.63</w:t>
            </w:r>
          </w:p>
        </w:tc>
        <w:tc>
          <w:tcPr>
            <w:tcW w:w="134" w:type="pct"/>
            <w:tcBorders>
              <w:bottom w:val="single" w:sz="4" w:space="0" w:color="auto"/>
            </w:tcBorders>
            <w:vAlign w:val="bottom"/>
          </w:tcPr>
          <w:p>
            <w:pPr>
              <w:spacing w:after="0" w:line="240" w:lineRule="auto"/>
              <w:jc w:val="right"/>
              <w:rPr>
                <w:rFonts w:ascii="Arial Narrow" w:hAnsi="Arial Narrow" w:cs="Arial"/>
                <w:color w:val="000000" w:themeColor="text1"/>
                <w:sz w:val="20"/>
                <w:szCs w:val="20"/>
              </w:rPr>
            </w:pPr>
          </w:p>
        </w:tc>
        <w:tc>
          <w:tcPr>
            <w:tcW w:w="915" w:type="pct"/>
            <w:tcBorders>
              <w:bottom w:val="single" w:sz="4" w:space="0" w:color="auto"/>
            </w:tcBorders>
            <w:vAlign w:val="bottom"/>
          </w:tcPr>
          <w:p>
            <w:pPr>
              <w:spacing w:after="0" w:line="240" w:lineRule="auto"/>
              <w:ind w:right="-78"/>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    85,036.93 </w:t>
            </w:r>
          </w:p>
        </w:tc>
      </w:tr>
      <w:tr>
        <w:trPr>
          <w:trHeight w:val="82"/>
        </w:trPr>
        <w:tc>
          <w:tcPr>
            <w:tcW w:w="1773" w:type="pct"/>
            <w:tcBorders>
              <w:top w:val="single" w:sz="4" w:space="0" w:color="auto"/>
              <w:bottom w:val="double" w:sz="4" w:space="0" w:color="auto"/>
            </w:tcBorders>
            <w:shd w:val="clear" w:color="auto" w:fill="auto"/>
            <w:noWrap/>
          </w:tcPr>
          <w:p>
            <w:pPr>
              <w:spacing w:after="0" w:line="240" w:lineRule="auto"/>
              <w:ind w:left="-109"/>
              <w:rPr>
                <w:rFonts w:ascii="Arial Narrow" w:hAnsi="Arial Narrow" w:cs="Arial"/>
                <w:b/>
                <w:color w:val="000000" w:themeColor="text1"/>
                <w:sz w:val="20"/>
                <w:szCs w:val="20"/>
              </w:rPr>
            </w:pPr>
            <w:r>
              <w:rPr>
                <w:rFonts w:ascii="Arial Narrow" w:hAnsi="Arial Narrow" w:cs="Arial"/>
                <w:b/>
                <w:color w:val="000000" w:themeColor="text1"/>
                <w:sz w:val="20"/>
                <w:szCs w:val="20"/>
              </w:rPr>
              <w:t>TOTAL</w:t>
            </w:r>
          </w:p>
        </w:tc>
        <w:tc>
          <w:tcPr>
            <w:tcW w:w="135" w:type="pct"/>
            <w:tcBorders>
              <w:top w:val="single" w:sz="4" w:space="0" w:color="auto"/>
              <w:bottom w:val="double" w:sz="4" w:space="0" w:color="auto"/>
            </w:tcBorders>
          </w:tcPr>
          <w:p>
            <w:pPr>
              <w:spacing w:after="0" w:line="240" w:lineRule="auto"/>
              <w:ind w:left="-112"/>
              <w:jc w:val="right"/>
              <w:rPr>
                <w:rFonts w:ascii="Arial Narrow" w:hAnsi="Arial Narrow" w:cs="Arial"/>
                <w:color w:val="000000" w:themeColor="text1"/>
                <w:sz w:val="20"/>
                <w:szCs w:val="20"/>
              </w:rPr>
            </w:pPr>
          </w:p>
        </w:tc>
        <w:tc>
          <w:tcPr>
            <w:tcW w:w="916" w:type="pct"/>
            <w:tcBorders>
              <w:top w:val="single" w:sz="4" w:space="0" w:color="auto"/>
              <w:bottom w:val="double" w:sz="4" w:space="0" w:color="auto"/>
            </w:tcBorders>
          </w:tcPr>
          <w:p>
            <w:pPr>
              <w:spacing w:after="0" w:line="240" w:lineRule="auto"/>
              <w:jc w:val="right"/>
              <w:rPr>
                <w:rFonts w:ascii="Arial Narrow" w:hAnsi="Arial Narrow" w:cs="Arial"/>
                <w:color w:val="000000" w:themeColor="text1"/>
                <w:sz w:val="20"/>
                <w:szCs w:val="20"/>
              </w:rPr>
            </w:pPr>
            <w:r>
              <w:rPr>
                <w:rFonts w:ascii="Arial Narrow" w:hAnsi="Arial Narrow" w:cs="Arial"/>
                <w:b/>
                <w:bCs/>
                <w:color w:val="000000" w:themeColor="text1"/>
                <w:sz w:val="20"/>
                <w:szCs w:val="20"/>
              </w:rPr>
              <w:t>P1,532,050,078.66</w:t>
            </w:r>
          </w:p>
        </w:tc>
        <w:tc>
          <w:tcPr>
            <w:tcW w:w="134" w:type="pct"/>
            <w:tcBorders>
              <w:top w:val="single" w:sz="4" w:space="0" w:color="auto"/>
              <w:bottom w:val="double" w:sz="4" w:space="0" w:color="auto"/>
            </w:tcBorders>
          </w:tcPr>
          <w:p>
            <w:pPr>
              <w:spacing w:after="0" w:line="240" w:lineRule="auto"/>
              <w:ind w:left="-112"/>
              <w:jc w:val="right"/>
              <w:rPr>
                <w:rFonts w:ascii="Arial Narrow" w:hAnsi="Arial Narrow" w:cs="Arial"/>
                <w:color w:val="000000" w:themeColor="text1"/>
                <w:sz w:val="20"/>
                <w:szCs w:val="20"/>
              </w:rPr>
            </w:pPr>
          </w:p>
        </w:tc>
        <w:tc>
          <w:tcPr>
            <w:tcW w:w="992" w:type="pct"/>
            <w:tcBorders>
              <w:top w:val="single" w:sz="4" w:space="0" w:color="auto"/>
              <w:bottom w:val="double" w:sz="4" w:space="0" w:color="auto"/>
            </w:tcBorders>
            <w:shd w:val="clear" w:color="auto" w:fill="auto"/>
            <w:noWrap/>
          </w:tcPr>
          <w:p>
            <w:pPr>
              <w:spacing w:after="0" w:line="240" w:lineRule="auto"/>
              <w:jc w:val="right"/>
              <w:rPr>
                <w:rFonts w:ascii="Arial Narrow" w:hAnsi="Arial Narrow" w:cs="Arial"/>
                <w:color w:val="000000" w:themeColor="text1"/>
                <w:sz w:val="20"/>
                <w:szCs w:val="20"/>
              </w:rPr>
            </w:pPr>
            <w:r>
              <w:rPr>
                <w:rFonts w:ascii="Arial Narrow" w:hAnsi="Arial Narrow" w:cs="Arial"/>
                <w:b/>
                <w:bCs/>
                <w:color w:val="000000" w:themeColor="text1"/>
                <w:sz w:val="20"/>
                <w:szCs w:val="20"/>
              </w:rPr>
              <w:t>P1,508,272,429.79</w:t>
            </w:r>
          </w:p>
        </w:tc>
        <w:tc>
          <w:tcPr>
            <w:tcW w:w="134" w:type="pct"/>
            <w:tcBorders>
              <w:top w:val="single" w:sz="4" w:space="0" w:color="auto"/>
              <w:bottom w:val="double" w:sz="4" w:space="0" w:color="auto"/>
            </w:tcBorders>
          </w:tcPr>
          <w:p>
            <w:pPr>
              <w:spacing w:after="0" w:line="240" w:lineRule="auto"/>
              <w:jc w:val="right"/>
              <w:rPr>
                <w:rFonts w:ascii="Arial Narrow" w:hAnsi="Arial Narrow" w:cs="Arial"/>
                <w:color w:val="000000" w:themeColor="text1"/>
                <w:sz w:val="20"/>
                <w:szCs w:val="20"/>
              </w:rPr>
            </w:pPr>
          </w:p>
        </w:tc>
        <w:tc>
          <w:tcPr>
            <w:tcW w:w="915" w:type="pct"/>
            <w:tcBorders>
              <w:top w:val="single" w:sz="4" w:space="0" w:color="auto"/>
              <w:bottom w:val="double" w:sz="4" w:space="0" w:color="auto"/>
            </w:tcBorders>
          </w:tcPr>
          <w:p>
            <w:pPr>
              <w:spacing w:after="0" w:line="240" w:lineRule="auto"/>
              <w:ind w:right="-78"/>
              <w:jc w:val="right"/>
              <w:rPr>
                <w:rFonts w:ascii="Arial Narrow" w:hAnsi="Arial Narrow" w:cs="Arial"/>
                <w:color w:val="000000" w:themeColor="text1"/>
                <w:sz w:val="20"/>
                <w:szCs w:val="20"/>
              </w:rPr>
            </w:pPr>
            <w:r>
              <w:rPr>
                <w:rFonts w:ascii="Arial Narrow" w:hAnsi="Arial Narrow" w:cs="Arial"/>
                <w:b/>
                <w:bCs/>
                <w:color w:val="000000" w:themeColor="text1"/>
                <w:sz w:val="20"/>
                <w:szCs w:val="20"/>
              </w:rPr>
              <w:t>P23,777,648.87</w:t>
            </w:r>
          </w:p>
        </w:tc>
      </w:tr>
    </w:tbl>
    <w:p>
      <w:pPr>
        <w:pStyle w:val="ListParagraph"/>
        <w:ind w:left="1440"/>
        <w:contextualSpacing/>
        <w:jc w:val="both"/>
        <w:rPr>
          <w:rFonts w:ascii="Arial" w:hAnsi="Arial" w:cs="Arial"/>
          <w:color w:val="000000" w:themeColor="text1"/>
          <w:sz w:val="22"/>
          <w:szCs w:val="22"/>
        </w:rPr>
      </w:pPr>
    </w:p>
    <w:p>
      <w:pPr>
        <w:pStyle w:val="ListParagraph"/>
        <w:numPr>
          <w:ilvl w:val="1"/>
          <w:numId w:val="17"/>
        </w:numPr>
        <w:ind w:left="1418" w:hanging="709"/>
        <w:jc w:val="both"/>
        <w:rPr>
          <w:rFonts w:ascii="Arial" w:hAnsi="Arial" w:cs="Arial"/>
          <w:color w:val="000000" w:themeColor="text1"/>
          <w:sz w:val="22"/>
          <w:szCs w:val="22"/>
        </w:rPr>
      </w:pPr>
      <w:r>
        <w:rPr>
          <w:rFonts w:ascii="Arial" w:hAnsi="Arial" w:cs="Arial"/>
          <w:color w:val="000000" w:themeColor="text1"/>
          <w:sz w:val="22"/>
          <w:szCs w:val="22"/>
        </w:rPr>
        <w:t>Examination of the Bank Reconciliation Statements (BRSs) as of December 31, 2020 for the  bank accounts in Table 6 disclosed that the P23.778 million discrepancy pertained to unadjusted book and bank reconciling items totaling P1.458 million and P22.320 million presented in Tables 7 and 8, respectively.</w:t>
      </w:r>
    </w:p>
    <w:p>
      <w:pPr>
        <w:spacing w:after="0" w:line="240" w:lineRule="auto"/>
        <w:contextualSpacing/>
        <w:jc w:val="both"/>
        <w:rPr>
          <w:rFonts w:ascii="Arial" w:hAnsi="Arial" w:cs="Arial"/>
        </w:rPr>
      </w:pPr>
    </w:p>
    <w:p>
      <w:pPr>
        <w:autoSpaceDE w:val="0"/>
        <w:autoSpaceDN w:val="0"/>
        <w:adjustRightInd w:val="0"/>
        <w:spacing w:after="0" w:line="240" w:lineRule="auto"/>
        <w:jc w:val="center"/>
        <w:rPr>
          <w:rFonts w:ascii="Arial" w:hAnsi="Arial" w:cs="Arial"/>
          <w:b/>
          <w:sz w:val="20"/>
          <w:szCs w:val="20"/>
          <w:lang w:eastAsia="en-PH"/>
        </w:rPr>
      </w:pPr>
      <w:r>
        <w:rPr>
          <w:rFonts w:ascii="Arial" w:hAnsi="Arial" w:cs="Arial"/>
          <w:b/>
          <w:sz w:val="20"/>
          <w:szCs w:val="20"/>
          <w:lang w:eastAsia="en-PH"/>
        </w:rPr>
        <w:t xml:space="preserve">Table 7 – Summary of Unadjusted Book Reconciling Items </w:t>
      </w:r>
    </w:p>
    <w:p>
      <w:pPr>
        <w:autoSpaceDE w:val="0"/>
        <w:autoSpaceDN w:val="0"/>
        <w:adjustRightInd w:val="0"/>
        <w:spacing w:after="0" w:line="240" w:lineRule="auto"/>
        <w:jc w:val="center"/>
        <w:rPr>
          <w:rFonts w:ascii="Arial" w:hAnsi="Arial" w:cs="Arial"/>
          <w:b/>
          <w:sz w:val="20"/>
          <w:szCs w:val="20"/>
          <w:lang w:eastAsia="en-PH"/>
        </w:rPr>
      </w:pPr>
      <w:r>
        <w:rPr>
          <w:rFonts w:ascii="Arial" w:hAnsi="Arial" w:cs="Arial"/>
          <w:b/>
          <w:sz w:val="20"/>
          <w:szCs w:val="20"/>
          <w:lang w:eastAsia="en-PH"/>
        </w:rPr>
        <w:t>For CYs 2008-2020</w:t>
      </w:r>
    </w:p>
    <w:p>
      <w:pPr>
        <w:autoSpaceDE w:val="0"/>
        <w:autoSpaceDN w:val="0"/>
        <w:adjustRightInd w:val="0"/>
        <w:spacing w:after="0" w:line="240" w:lineRule="auto"/>
        <w:jc w:val="center"/>
        <w:rPr>
          <w:rFonts w:ascii="Arial" w:hAnsi="Arial" w:cs="Arial"/>
          <w:b/>
          <w:sz w:val="20"/>
          <w:szCs w:val="20"/>
          <w:lang w:eastAsia="en-PH"/>
        </w:rPr>
      </w:pPr>
    </w:p>
    <w:tbl>
      <w:tblPr>
        <w:tblStyle w:val="TableGrid"/>
        <w:tblW w:w="8642" w:type="dxa"/>
        <w:tblBorders>
          <w:insideH w:val="single" w:sz="6" w:space="0" w:color="auto"/>
          <w:insideV w:val="single" w:sz="6" w:space="0" w:color="auto"/>
        </w:tblBorders>
        <w:tblLayout w:type="fixed"/>
        <w:tblLook w:val="04A0" w:firstRow="1" w:lastRow="0" w:firstColumn="1" w:lastColumn="0" w:noHBand="0" w:noVBand="1"/>
      </w:tblPr>
      <w:tblGrid>
        <w:gridCol w:w="2830"/>
        <w:gridCol w:w="2410"/>
        <w:gridCol w:w="1619"/>
        <w:gridCol w:w="1783"/>
      </w:tblGrid>
      <w:tr>
        <w:trPr>
          <w:trHeight w:val="461"/>
          <w:tblHeader/>
        </w:trPr>
        <w:tc>
          <w:tcPr>
            <w:tcW w:w="2830" w:type="dxa"/>
            <w:tcBorders>
              <w:top w:val="single" w:sz="4" w:space="0" w:color="auto"/>
              <w:left w:val="nil"/>
              <w:bottom w:val="single" w:sz="6" w:space="0" w:color="auto"/>
              <w:right w:val="nil"/>
            </w:tcBorders>
            <w:vAlign w:val="bottom"/>
          </w:tcPr>
          <w:p>
            <w:pPr>
              <w:pStyle w:val="ListParagraph"/>
              <w:ind w:left="-110"/>
              <w:jc w:val="both"/>
              <w:rPr>
                <w:rFonts w:ascii="Arial Narrow" w:hAnsi="Arial Narrow" w:cs="Arial"/>
                <w:b/>
                <w:color w:val="000000" w:themeColor="text1"/>
                <w:sz w:val="20"/>
                <w:szCs w:val="20"/>
              </w:rPr>
            </w:pPr>
            <w:r>
              <w:rPr>
                <w:rFonts w:ascii="Arial Narrow" w:hAnsi="Arial Narrow" w:cs="Arial"/>
                <w:b/>
                <w:color w:val="000000" w:themeColor="text1"/>
                <w:sz w:val="20"/>
                <w:szCs w:val="20"/>
              </w:rPr>
              <w:t>Account No.</w:t>
            </w:r>
          </w:p>
        </w:tc>
        <w:tc>
          <w:tcPr>
            <w:tcW w:w="2410" w:type="dxa"/>
            <w:tcBorders>
              <w:top w:val="single" w:sz="4" w:space="0" w:color="auto"/>
              <w:left w:val="nil"/>
              <w:bottom w:val="single" w:sz="6" w:space="0" w:color="auto"/>
              <w:right w:val="nil"/>
            </w:tcBorders>
            <w:vAlign w:val="bottom"/>
          </w:tcPr>
          <w:p>
            <w:pPr>
              <w:pStyle w:val="ListParagraph"/>
              <w:ind w:left="0" w:right="31"/>
              <w:jc w:val="right"/>
              <w:rPr>
                <w:rFonts w:ascii="Arial Narrow" w:hAnsi="Arial Narrow" w:cs="Arial"/>
                <w:b/>
                <w:color w:val="000000" w:themeColor="text1"/>
                <w:sz w:val="20"/>
                <w:szCs w:val="20"/>
              </w:rPr>
            </w:pPr>
            <w:r>
              <w:rPr>
                <w:rFonts w:ascii="Arial Narrow" w:hAnsi="Arial Narrow" w:cs="Arial"/>
                <w:b/>
                <w:color w:val="000000" w:themeColor="text1"/>
                <w:sz w:val="20"/>
                <w:szCs w:val="20"/>
              </w:rPr>
              <w:t>Erroneous Recording of Transactions</w:t>
            </w:r>
          </w:p>
        </w:tc>
        <w:tc>
          <w:tcPr>
            <w:tcW w:w="1619" w:type="dxa"/>
            <w:tcBorders>
              <w:top w:val="single" w:sz="4" w:space="0" w:color="auto"/>
              <w:left w:val="nil"/>
              <w:bottom w:val="single" w:sz="6" w:space="0" w:color="auto"/>
              <w:right w:val="nil"/>
            </w:tcBorders>
            <w:vAlign w:val="bottom"/>
          </w:tcPr>
          <w:p>
            <w:pPr>
              <w:pStyle w:val="ListParagraph"/>
              <w:ind w:left="0" w:right="31"/>
              <w:jc w:val="right"/>
              <w:rPr>
                <w:rFonts w:ascii="Arial Narrow" w:hAnsi="Arial Narrow" w:cs="Arial"/>
                <w:b/>
                <w:color w:val="000000" w:themeColor="text1"/>
                <w:sz w:val="20"/>
                <w:szCs w:val="20"/>
              </w:rPr>
            </w:pPr>
            <w:r>
              <w:rPr>
                <w:rFonts w:ascii="Arial Narrow" w:hAnsi="Arial Narrow" w:cs="Arial"/>
                <w:b/>
                <w:color w:val="000000" w:themeColor="text1"/>
                <w:sz w:val="20"/>
                <w:szCs w:val="20"/>
              </w:rPr>
              <w:t>Unrecorded Transactions</w:t>
            </w:r>
          </w:p>
        </w:tc>
        <w:tc>
          <w:tcPr>
            <w:tcW w:w="1783" w:type="dxa"/>
            <w:tcBorders>
              <w:top w:val="single" w:sz="4" w:space="0" w:color="auto"/>
              <w:left w:val="nil"/>
              <w:bottom w:val="single" w:sz="6" w:space="0" w:color="auto"/>
              <w:right w:val="nil"/>
            </w:tcBorders>
            <w:vAlign w:val="bottom"/>
          </w:tcPr>
          <w:p>
            <w:pPr>
              <w:pStyle w:val="ListParagraph"/>
              <w:ind w:left="0" w:right="-11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Total</w:t>
            </w:r>
          </w:p>
        </w:tc>
      </w:tr>
      <w:tr>
        <w:trPr>
          <w:trHeight w:val="233"/>
        </w:trPr>
        <w:tc>
          <w:tcPr>
            <w:tcW w:w="2830" w:type="dxa"/>
            <w:tcBorders>
              <w:top w:val="single" w:sz="6" w:space="0" w:color="auto"/>
              <w:left w:val="nil"/>
              <w:bottom w:val="single" w:sz="6" w:space="0" w:color="auto"/>
              <w:right w:val="nil"/>
            </w:tcBorders>
            <w:vAlign w:val="center"/>
          </w:tcPr>
          <w:p>
            <w:pPr>
              <w:pStyle w:val="ListParagraph"/>
              <w:ind w:left="-110"/>
              <w:jc w:val="both"/>
              <w:rPr>
                <w:rFonts w:ascii="Arial Narrow" w:hAnsi="Arial Narrow" w:cs="Arial"/>
                <w:b/>
                <w:bCs/>
                <w:i/>
                <w:iCs/>
                <w:color w:val="000000" w:themeColor="text1"/>
                <w:sz w:val="20"/>
                <w:szCs w:val="20"/>
                <w:u w:val="single"/>
              </w:rPr>
            </w:pPr>
            <w:r>
              <w:rPr>
                <w:rFonts w:ascii="Arial Narrow" w:hAnsi="Arial Narrow" w:cs="Arial"/>
                <w:b/>
                <w:bCs/>
                <w:i/>
                <w:iCs/>
                <w:color w:val="000000" w:themeColor="text1"/>
                <w:sz w:val="20"/>
                <w:szCs w:val="20"/>
                <w:u w:val="single"/>
              </w:rPr>
              <w:t>Main Account:</w:t>
            </w:r>
          </w:p>
        </w:tc>
        <w:tc>
          <w:tcPr>
            <w:tcW w:w="2410" w:type="dxa"/>
            <w:tcBorders>
              <w:top w:val="single" w:sz="6" w:space="0" w:color="auto"/>
              <w:left w:val="nil"/>
              <w:bottom w:val="single" w:sz="6" w:space="0" w:color="auto"/>
              <w:right w:val="nil"/>
            </w:tcBorders>
            <w:vAlign w:val="center"/>
          </w:tcPr>
          <w:p>
            <w:pPr>
              <w:pStyle w:val="ListParagraph"/>
              <w:ind w:left="0" w:right="31"/>
              <w:jc w:val="right"/>
              <w:rPr>
                <w:rFonts w:ascii="Arial Narrow" w:hAnsi="Arial Narrow" w:cs="Arial"/>
                <w:color w:val="000000" w:themeColor="text1"/>
                <w:sz w:val="20"/>
                <w:szCs w:val="20"/>
              </w:rPr>
            </w:pPr>
          </w:p>
        </w:tc>
        <w:tc>
          <w:tcPr>
            <w:tcW w:w="1619" w:type="dxa"/>
            <w:tcBorders>
              <w:top w:val="single" w:sz="6" w:space="0" w:color="auto"/>
              <w:left w:val="nil"/>
              <w:bottom w:val="single" w:sz="6" w:space="0" w:color="auto"/>
              <w:right w:val="nil"/>
            </w:tcBorders>
            <w:vAlign w:val="center"/>
          </w:tcPr>
          <w:p>
            <w:pPr>
              <w:pStyle w:val="ListParagraph"/>
              <w:ind w:left="0" w:right="31"/>
              <w:rPr>
                <w:rFonts w:ascii="Arial Narrow" w:hAnsi="Arial Narrow" w:cs="Arial"/>
                <w:color w:val="000000" w:themeColor="text1"/>
                <w:sz w:val="20"/>
                <w:szCs w:val="20"/>
              </w:rPr>
            </w:pPr>
          </w:p>
        </w:tc>
        <w:tc>
          <w:tcPr>
            <w:tcW w:w="1783" w:type="dxa"/>
            <w:tcBorders>
              <w:top w:val="single" w:sz="6" w:space="0" w:color="auto"/>
              <w:left w:val="nil"/>
              <w:bottom w:val="single" w:sz="6" w:space="0" w:color="auto"/>
              <w:right w:val="nil"/>
            </w:tcBorders>
            <w:vAlign w:val="center"/>
          </w:tcPr>
          <w:p>
            <w:pPr>
              <w:pStyle w:val="ListParagraph"/>
              <w:ind w:left="0" w:right="-110"/>
              <w:jc w:val="right"/>
              <w:rPr>
                <w:rFonts w:ascii="Arial Narrow" w:hAnsi="Arial Narrow" w:cs="Arial"/>
                <w:color w:val="000000" w:themeColor="text1"/>
                <w:sz w:val="20"/>
                <w:szCs w:val="20"/>
              </w:rPr>
            </w:pPr>
          </w:p>
        </w:tc>
      </w:tr>
      <w:tr>
        <w:trPr>
          <w:trHeight w:val="189"/>
        </w:trPr>
        <w:tc>
          <w:tcPr>
            <w:tcW w:w="2830" w:type="dxa"/>
            <w:tcBorders>
              <w:top w:val="single" w:sz="6" w:space="0" w:color="auto"/>
              <w:left w:val="nil"/>
              <w:bottom w:val="nil"/>
              <w:right w:val="nil"/>
            </w:tcBorders>
          </w:tcPr>
          <w:p>
            <w:pPr>
              <w:pStyle w:val="NoSpacing"/>
              <w:ind w:left="-110"/>
              <w:rPr>
                <w:rFonts w:ascii="Arial Narrow" w:hAnsi="Arial Narrow" w:cs="Arial"/>
                <w:color w:val="000000" w:themeColor="text1"/>
                <w:sz w:val="20"/>
                <w:szCs w:val="20"/>
              </w:rPr>
            </w:pPr>
            <w:r>
              <w:rPr>
                <w:rFonts w:ascii="Arial Narrow" w:hAnsi="Arial Narrow" w:cs="Arial"/>
                <w:color w:val="000000" w:themeColor="text1"/>
                <w:sz w:val="20"/>
                <w:szCs w:val="20"/>
              </w:rPr>
              <w:t>LBP Acct No. 3102-XXXX</w:t>
            </w:r>
          </w:p>
        </w:tc>
        <w:tc>
          <w:tcPr>
            <w:tcW w:w="2410" w:type="dxa"/>
            <w:tcBorders>
              <w:top w:val="single" w:sz="6" w:space="0" w:color="auto"/>
              <w:left w:val="nil"/>
              <w:bottom w:val="nil"/>
              <w:right w:val="nil"/>
            </w:tcBorders>
          </w:tcPr>
          <w:p>
            <w:pPr>
              <w:pStyle w:val="ListParagraph"/>
              <w:ind w:left="0" w:right="31"/>
              <w:jc w:val="right"/>
              <w:rPr>
                <w:rFonts w:ascii="Arial Narrow" w:hAnsi="Arial Narrow" w:cs="Arial"/>
                <w:color w:val="000000" w:themeColor="text1"/>
                <w:sz w:val="20"/>
                <w:szCs w:val="20"/>
              </w:rPr>
            </w:pPr>
            <w:r>
              <w:rPr>
                <w:rFonts w:ascii="Arial Narrow" w:hAnsi="Arial Narrow" w:cs="Arial"/>
                <w:color w:val="000000" w:themeColor="text1"/>
                <w:sz w:val="20"/>
                <w:szCs w:val="20"/>
              </w:rPr>
              <w:t>P(1,189,049.65)</w:t>
            </w:r>
          </w:p>
        </w:tc>
        <w:tc>
          <w:tcPr>
            <w:tcW w:w="1619" w:type="dxa"/>
            <w:tcBorders>
              <w:top w:val="single" w:sz="6" w:space="0" w:color="auto"/>
              <w:left w:val="nil"/>
              <w:bottom w:val="nil"/>
              <w:right w:val="nil"/>
            </w:tcBorders>
          </w:tcPr>
          <w:p>
            <w:pPr>
              <w:pStyle w:val="ListParagraph"/>
              <w:ind w:left="0" w:right="31"/>
              <w:jc w:val="right"/>
              <w:rPr>
                <w:rFonts w:ascii="Arial Narrow" w:hAnsi="Arial Narrow" w:cs="Arial"/>
                <w:color w:val="000000" w:themeColor="text1"/>
                <w:sz w:val="20"/>
                <w:szCs w:val="20"/>
              </w:rPr>
            </w:pPr>
            <w:r>
              <w:rPr>
                <w:rFonts w:ascii="Arial Narrow" w:hAnsi="Arial Narrow" w:cs="Arial"/>
                <w:color w:val="000000" w:themeColor="text1"/>
                <w:sz w:val="20"/>
                <w:szCs w:val="20"/>
              </w:rPr>
              <w:t>P   509,681.81</w:t>
            </w:r>
          </w:p>
        </w:tc>
        <w:tc>
          <w:tcPr>
            <w:tcW w:w="1783" w:type="dxa"/>
            <w:tcBorders>
              <w:top w:val="single" w:sz="6" w:space="0" w:color="auto"/>
              <w:left w:val="nil"/>
              <w:bottom w:val="nil"/>
              <w:right w:val="nil"/>
            </w:tcBorders>
          </w:tcPr>
          <w:p>
            <w:pPr>
              <w:pStyle w:val="ListParagraph"/>
              <w:ind w:left="0"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P(679,367.84)</w:t>
            </w:r>
          </w:p>
        </w:tc>
      </w:tr>
      <w:tr>
        <w:trPr>
          <w:trHeight w:val="162"/>
        </w:trPr>
        <w:tc>
          <w:tcPr>
            <w:tcW w:w="2830" w:type="dxa"/>
            <w:tcBorders>
              <w:top w:val="nil"/>
              <w:left w:val="nil"/>
              <w:bottom w:val="nil"/>
              <w:right w:val="nil"/>
            </w:tcBorders>
          </w:tcPr>
          <w:p>
            <w:pPr>
              <w:pStyle w:val="NoSpacing"/>
              <w:ind w:left="-110" w:right="-241"/>
              <w:rPr>
                <w:rFonts w:ascii="Arial Narrow" w:hAnsi="Arial Narrow" w:cs="Arial"/>
                <w:color w:val="000000" w:themeColor="text1"/>
                <w:sz w:val="20"/>
                <w:szCs w:val="20"/>
              </w:rPr>
            </w:pPr>
            <w:r>
              <w:rPr>
                <w:rFonts w:ascii="Arial Narrow" w:hAnsi="Arial Narrow" w:cs="Arial"/>
                <w:color w:val="000000" w:themeColor="text1"/>
                <w:sz w:val="20"/>
                <w:szCs w:val="20"/>
              </w:rPr>
              <w:t>PNB Acct. No. 1212XXXX</w:t>
            </w:r>
          </w:p>
        </w:tc>
        <w:tc>
          <w:tcPr>
            <w:tcW w:w="2410" w:type="dxa"/>
            <w:tcBorders>
              <w:top w:val="nil"/>
              <w:left w:val="nil"/>
              <w:bottom w:val="nil"/>
              <w:right w:val="nil"/>
            </w:tcBorders>
          </w:tcPr>
          <w:p>
            <w:pPr>
              <w:pStyle w:val="ListParagraph"/>
              <w:ind w:left="0" w:right="31"/>
              <w:jc w:val="right"/>
              <w:rPr>
                <w:rFonts w:ascii="Arial Narrow" w:hAnsi="Arial Narrow" w:cs="Arial"/>
                <w:color w:val="000000" w:themeColor="text1"/>
                <w:sz w:val="20"/>
                <w:szCs w:val="20"/>
              </w:rPr>
            </w:pPr>
            <w:r>
              <w:rPr>
                <w:rFonts w:ascii="Arial Narrow" w:hAnsi="Arial Narrow" w:cs="Arial"/>
                <w:color w:val="000000" w:themeColor="text1"/>
                <w:sz w:val="20"/>
                <w:szCs w:val="20"/>
              </w:rPr>
              <w:t>(190,155.26)</w:t>
            </w:r>
          </w:p>
        </w:tc>
        <w:tc>
          <w:tcPr>
            <w:tcW w:w="1619" w:type="dxa"/>
            <w:tcBorders>
              <w:top w:val="nil"/>
              <w:left w:val="nil"/>
              <w:bottom w:val="nil"/>
              <w:right w:val="nil"/>
            </w:tcBorders>
          </w:tcPr>
          <w:p>
            <w:pPr>
              <w:pStyle w:val="ListParagraph"/>
              <w:ind w:left="0" w:right="31"/>
              <w:jc w:val="right"/>
              <w:rPr>
                <w:rFonts w:ascii="Arial Narrow" w:hAnsi="Arial Narrow" w:cs="Arial"/>
                <w:color w:val="000000" w:themeColor="text1"/>
                <w:sz w:val="20"/>
                <w:szCs w:val="20"/>
              </w:rPr>
            </w:pPr>
            <w:r>
              <w:rPr>
                <w:rFonts w:ascii="Arial Narrow" w:hAnsi="Arial Narrow" w:cs="Arial"/>
                <w:color w:val="000000" w:themeColor="text1"/>
                <w:sz w:val="20"/>
                <w:szCs w:val="20"/>
              </w:rPr>
              <w:t>117,332.54</w:t>
            </w:r>
          </w:p>
        </w:tc>
        <w:tc>
          <w:tcPr>
            <w:tcW w:w="1783" w:type="dxa"/>
            <w:tcBorders>
              <w:top w:val="nil"/>
              <w:left w:val="nil"/>
              <w:bottom w:val="nil"/>
              <w:right w:val="nil"/>
            </w:tcBorders>
          </w:tcPr>
          <w:p>
            <w:pPr>
              <w:pStyle w:val="ListParagraph"/>
              <w:ind w:left="0"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(72,822.72)</w:t>
            </w:r>
          </w:p>
        </w:tc>
      </w:tr>
      <w:tr>
        <w:trPr>
          <w:trHeight w:val="95"/>
        </w:trPr>
        <w:tc>
          <w:tcPr>
            <w:tcW w:w="2830" w:type="dxa"/>
            <w:tcBorders>
              <w:top w:val="nil"/>
              <w:left w:val="nil"/>
              <w:bottom w:val="nil"/>
              <w:right w:val="nil"/>
            </w:tcBorders>
          </w:tcPr>
          <w:p>
            <w:pPr>
              <w:pStyle w:val="ListParagraph"/>
              <w:ind w:left="-110" w:right="31"/>
              <w:jc w:val="both"/>
              <w:rPr>
                <w:rFonts w:ascii="Arial Narrow" w:hAnsi="Arial Narrow" w:cs="Arial"/>
                <w:b/>
                <w:bCs/>
                <w:i/>
                <w:iCs/>
                <w:color w:val="000000" w:themeColor="text1"/>
                <w:sz w:val="20"/>
                <w:szCs w:val="20"/>
                <w:u w:val="single"/>
              </w:rPr>
            </w:pPr>
            <w:r>
              <w:rPr>
                <w:rFonts w:ascii="Arial Narrow" w:hAnsi="Arial Narrow" w:cs="Arial"/>
                <w:b/>
                <w:bCs/>
                <w:i/>
                <w:iCs/>
                <w:color w:val="000000" w:themeColor="text1"/>
                <w:sz w:val="20"/>
                <w:szCs w:val="20"/>
                <w:u w:val="single"/>
              </w:rPr>
              <w:t>Operating Fund:</w:t>
            </w:r>
          </w:p>
        </w:tc>
        <w:tc>
          <w:tcPr>
            <w:tcW w:w="2410" w:type="dxa"/>
            <w:tcBorders>
              <w:top w:val="nil"/>
              <w:left w:val="nil"/>
              <w:bottom w:val="nil"/>
              <w:right w:val="nil"/>
            </w:tcBorders>
          </w:tcPr>
          <w:p>
            <w:pPr>
              <w:pStyle w:val="ListParagraph"/>
              <w:ind w:left="0" w:right="31"/>
              <w:jc w:val="right"/>
              <w:rPr>
                <w:rFonts w:ascii="Arial Narrow" w:hAnsi="Arial Narrow" w:cs="Arial"/>
                <w:color w:val="000000" w:themeColor="text1"/>
                <w:sz w:val="20"/>
                <w:szCs w:val="20"/>
              </w:rPr>
            </w:pPr>
          </w:p>
        </w:tc>
        <w:tc>
          <w:tcPr>
            <w:tcW w:w="1619" w:type="dxa"/>
            <w:tcBorders>
              <w:top w:val="nil"/>
              <w:left w:val="nil"/>
              <w:bottom w:val="nil"/>
              <w:right w:val="nil"/>
            </w:tcBorders>
          </w:tcPr>
          <w:p>
            <w:pPr>
              <w:pStyle w:val="ListParagraph"/>
              <w:ind w:left="0" w:right="31"/>
              <w:jc w:val="right"/>
              <w:rPr>
                <w:rFonts w:ascii="Arial Narrow" w:hAnsi="Arial Narrow" w:cs="Arial"/>
                <w:color w:val="000000" w:themeColor="text1"/>
                <w:sz w:val="20"/>
                <w:szCs w:val="20"/>
              </w:rPr>
            </w:pPr>
          </w:p>
        </w:tc>
        <w:tc>
          <w:tcPr>
            <w:tcW w:w="1783" w:type="dxa"/>
            <w:tcBorders>
              <w:top w:val="nil"/>
              <w:left w:val="nil"/>
              <w:bottom w:val="nil"/>
              <w:right w:val="nil"/>
            </w:tcBorders>
          </w:tcPr>
          <w:p>
            <w:pPr>
              <w:pStyle w:val="ListParagraph"/>
              <w:ind w:left="0" w:right="-110"/>
              <w:jc w:val="right"/>
              <w:rPr>
                <w:rFonts w:ascii="Arial Narrow" w:hAnsi="Arial Narrow" w:cs="Arial"/>
                <w:color w:val="000000" w:themeColor="text1"/>
                <w:sz w:val="20"/>
                <w:szCs w:val="20"/>
              </w:rPr>
            </w:pPr>
          </w:p>
        </w:tc>
      </w:tr>
      <w:tr>
        <w:trPr>
          <w:trHeight w:val="168"/>
        </w:trPr>
        <w:tc>
          <w:tcPr>
            <w:tcW w:w="2830" w:type="dxa"/>
            <w:tcBorders>
              <w:top w:val="nil"/>
              <w:left w:val="nil"/>
              <w:bottom w:val="nil"/>
              <w:right w:val="nil"/>
            </w:tcBorders>
          </w:tcPr>
          <w:p>
            <w:pPr>
              <w:pStyle w:val="NoSpacing"/>
              <w:ind w:left="-110" w:right="31"/>
              <w:rPr>
                <w:rFonts w:ascii="Arial Narrow" w:hAnsi="Arial Narrow" w:cs="Arial"/>
                <w:color w:val="000000" w:themeColor="text1"/>
                <w:sz w:val="20"/>
                <w:szCs w:val="20"/>
              </w:rPr>
            </w:pPr>
            <w:r>
              <w:rPr>
                <w:rFonts w:ascii="Arial Narrow" w:hAnsi="Arial Narrow" w:cs="Arial"/>
                <w:color w:val="000000" w:themeColor="text1"/>
                <w:sz w:val="20"/>
                <w:szCs w:val="20"/>
              </w:rPr>
              <w:t>LBP Acct No.  3102XXXX</w:t>
            </w:r>
          </w:p>
        </w:tc>
        <w:tc>
          <w:tcPr>
            <w:tcW w:w="2410" w:type="dxa"/>
            <w:tcBorders>
              <w:top w:val="nil"/>
              <w:left w:val="nil"/>
              <w:bottom w:val="nil"/>
              <w:right w:val="nil"/>
            </w:tcBorders>
          </w:tcPr>
          <w:p>
            <w:pPr>
              <w:pStyle w:val="ListParagraph"/>
              <w:ind w:left="0" w:right="31"/>
              <w:jc w:val="right"/>
              <w:rPr>
                <w:rFonts w:ascii="Arial Narrow" w:hAnsi="Arial Narrow" w:cs="Arial"/>
                <w:color w:val="000000" w:themeColor="text1"/>
                <w:sz w:val="20"/>
                <w:szCs w:val="20"/>
              </w:rPr>
            </w:pPr>
            <w:r>
              <w:rPr>
                <w:rFonts w:ascii="Arial Narrow" w:hAnsi="Arial Narrow" w:cs="Arial"/>
                <w:color w:val="000000" w:themeColor="text1"/>
                <w:sz w:val="20"/>
                <w:szCs w:val="20"/>
              </w:rPr>
              <w:t>3,664,193.93</w:t>
            </w:r>
          </w:p>
        </w:tc>
        <w:tc>
          <w:tcPr>
            <w:tcW w:w="1619" w:type="dxa"/>
            <w:tcBorders>
              <w:top w:val="nil"/>
              <w:left w:val="nil"/>
              <w:bottom w:val="nil"/>
              <w:right w:val="nil"/>
            </w:tcBorders>
          </w:tcPr>
          <w:p>
            <w:pPr>
              <w:pStyle w:val="ListParagraph"/>
              <w:ind w:left="0" w:right="31"/>
              <w:jc w:val="right"/>
              <w:rPr>
                <w:rFonts w:ascii="Arial Narrow" w:hAnsi="Arial Narrow" w:cs="Arial"/>
                <w:color w:val="000000" w:themeColor="text1"/>
                <w:sz w:val="20"/>
                <w:szCs w:val="20"/>
              </w:rPr>
            </w:pPr>
            <w:r>
              <w:rPr>
                <w:rFonts w:ascii="Arial Narrow" w:hAnsi="Arial Narrow" w:cs="Arial"/>
                <w:color w:val="000000" w:themeColor="text1"/>
                <w:sz w:val="20"/>
                <w:szCs w:val="20"/>
              </w:rPr>
              <w:t>(2,227,719.88)</w:t>
            </w:r>
          </w:p>
        </w:tc>
        <w:tc>
          <w:tcPr>
            <w:tcW w:w="1783" w:type="dxa"/>
            <w:tcBorders>
              <w:top w:val="nil"/>
              <w:left w:val="nil"/>
              <w:bottom w:val="nil"/>
              <w:right w:val="nil"/>
            </w:tcBorders>
          </w:tcPr>
          <w:p>
            <w:pPr>
              <w:pStyle w:val="ListParagraph"/>
              <w:ind w:left="0"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1,436,474.05</w:t>
            </w:r>
          </w:p>
        </w:tc>
      </w:tr>
      <w:tr>
        <w:trPr>
          <w:trHeight w:val="44"/>
        </w:trPr>
        <w:tc>
          <w:tcPr>
            <w:tcW w:w="2830" w:type="dxa"/>
            <w:tcBorders>
              <w:top w:val="nil"/>
              <w:left w:val="nil"/>
              <w:bottom w:val="nil"/>
              <w:right w:val="nil"/>
            </w:tcBorders>
          </w:tcPr>
          <w:p>
            <w:pPr>
              <w:pStyle w:val="NoSpacing"/>
              <w:ind w:left="-110" w:right="31"/>
              <w:rPr>
                <w:rFonts w:ascii="Arial Narrow" w:hAnsi="Arial Narrow" w:cs="Arial"/>
                <w:color w:val="000000" w:themeColor="text1"/>
                <w:sz w:val="20"/>
                <w:szCs w:val="20"/>
              </w:rPr>
            </w:pPr>
            <w:r>
              <w:rPr>
                <w:rFonts w:ascii="Arial Narrow" w:hAnsi="Arial Narrow" w:cs="Arial"/>
                <w:color w:val="000000" w:themeColor="text1"/>
                <w:sz w:val="20"/>
                <w:szCs w:val="20"/>
              </w:rPr>
              <w:t>LBP Acct. No. 3101XXXX (Combo)</w:t>
            </w:r>
          </w:p>
        </w:tc>
        <w:tc>
          <w:tcPr>
            <w:tcW w:w="2410" w:type="dxa"/>
            <w:tcBorders>
              <w:top w:val="nil"/>
              <w:left w:val="nil"/>
              <w:bottom w:val="nil"/>
              <w:right w:val="nil"/>
            </w:tcBorders>
          </w:tcPr>
          <w:p>
            <w:pPr>
              <w:pStyle w:val="ListParagraph"/>
              <w:ind w:left="0" w:right="31"/>
              <w:jc w:val="right"/>
              <w:rPr>
                <w:rFonts w:ascii="Arial Narrow" w:hAnsi="Arial Narrow" w:cs="Arial"/>
                <w:color w:val="000000" w:themeColor="text1"/>
                <w:sz w:val="20"/>
                <w:szCs w:val="20"/>
              </w:rPr>
            </w:pPr>
            <w:r>
              <w:rPr>
                <w:rFonts w:ascii="Arial Narrow" w:hAnsi="Arial Narrow" w:cs="Arial"/>
                <w:color w:val="000000" w:themeColor="text1"/>
                <w:sz w:val="20"/>
                <w:szCs w:val="20"/>
              </w:rPr>
              <w:t>(1,427,606.80)</w:t>
            </w:r>
          </w:p>
        </w:tc>
        <w:tc>
          <w:tcPr>
            <w:tcW w:w="1619" w:type="dxa"/>
            <w:tcBorders>
              <w:top w:val="nil"/>
              <w:left w:val="nil"/>
              <w:bottom w:val="nil"/>
              <w:right w:val="nil"/>
            </w:tcBorders>
          </w:tcPr>
          <w:p>
            <w:pPr>
              <w:pStyle w:val="ListParagraph"/>
              <w:ind w:left="0" w:right="31"/>
              <w:jc w:val="right"/>
              <w:rPr>
                <w:rFonts w:ascii="Arial Narrow" w:hAnsi="Arial Narrow" w:cs="Arial"/>
                <w:color w:val="000000" w:themeColor="text1"/>
                <w:sz w:val="20"/>
                <w:szCs w:val="20"/>
              </w:rPr>
            </w:pPr>
            <w:r>
              <w:rPr>
                <w:rFonts w:ascii="Arial Narrow" w:hAnsi="Arial Narrow" w:cs="Arial"/>
                <w:color w:val="000000" w:themeColor="text1"/>
                <w:sz w:val="20"/>
                <w:szCs w:val="20"/>
              </w:rPr>
              <w:t>2,115,695.00</w:t>
            </w:r>
          </w:p>
        </w:tc>
        <w:tc>
          <w:tcPr>
            <w:tcW w:w="1783" w:type="dxa"/>
            <w:tcBorders>
              <w:top w:val="nil"/>
              <w:left w:val="nil"/>
              <w:bottom w:val="nil"/>
              <w:right w:val="nil"/>
            </w:tcBorders>
          </w:tcPr>
          <w:p>
            <w:pPr>
              <w:pStyle w:val="ListParagraph"/>
              <w:ind w:left="0"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688,088.20</w:t>
            </w:r>
          </w:p>
        </w:tc>
      </w:tr>
      <w:tr>
        <w:trPr>
          <w:trHeight w:val="42"/>
        </w:trPr>
        <w:tc>
          <w:tcPr>
            <w:tcW w:w="2830" w:type="dxa"/>
            <w:tcBorders>
              <w:top w:val="nil"/>
              <w:left w:val="nil"/>
              <w:bottom w:val="single" w:sz="6" w:space="0" w:color="auto"/>
              <w:right w:val="nil"/>
            </w:tcBorders>
          </w:tcPr>
          <w:p>
            <w:pPr>
              <w:pStyle w:val="NoSpacing"/>
              <w:ind w:left="-110" w:right="31"/>
              <w:rPr>
                <w:rFonts w:ascii="Arial Narrow" w:hAnsi="Arial Narrow" w:cs="Arial"/>
                <w:color w:val="000000" w:themeColor="text1"/>
                <w:sz w:val="20"/>
                <w:szCs w:val="20"/>
              </w:rPr>
            </w:pPr>
            <w:r>
              <w:rPr>
                <w:rFonts w:ascii="Arial Narrow" w:hAnsi="Arial Narrow" w:cs="Arial"/>
                <w:color w:val="000000" w:themeColor="text1"/>
                <w:sz w:val="20"/>
                <w:szCs w:val="20"/>
              </w:rPr>
              <w:t>LBP Acct. No. 3102XXXX (STL)</w:t>
            </w:r>
          </w:p>
        </w:tc>
        <w:tc>
          <w:tcPr>
            <w:tcW w:w="2410" w:type="dxa"/>
            <w:tcBorders>
              <w:top w:val="nil"/>
              <w:left w:val="nil"/>
              <w:bottom w:val="single" w:sz="6" w:space="0" w:color="auto"/>
              <w:right w:val="nil"/>
            </w:tcBorders>
          </w:tcPr>
          <w:p>
            <w:pPr>
              <w:pStyle w:val="ListParagraph"/>
              <w:ind w:left="0" w:right="31"/>
              <w:jc w:val="right"/>
              <w:rPr>
                <w:rFonts w:ascii="Arial Narrow" w:hAnsi="Arial Narrow" w:cs="Arial"/>
                <w:color w:val="000000" w:themeColor="text1"/>
                <w:sz w:val="20"/>
                <w:szCs w:val="20"/>
              </w:rPr>
            </w:pPr>
            <w:r>
              <w:rPr>
                <w:rFonts w:ascii="Arial Narrow" w:hAnsi="Arial Narrow" w:cs="Arial"/>
                <w:color w:val="000000" w:themeColor="text1"/>
                <w:sz w:val="20"/>
                <w:szCs w:val="20"/>
              </w:rPr>
              <w:t>(53,788.31)</w:t>
            </w:r>
          </w:p>
        </w:tc>
        <w:tc>
          <w:tcPr>
            <w:tcW w:w="1619" w:type="dxa"/>
            <w:tcBorders>
              <w:top w:val="nil"/>
              <w:left w:val="nil"/>
              <w:bottom w:val="single" w:sz="6" w:space="0" w:color="auto"/>
              <w:right w:val="nil"/>
            </w:tcBorders>
          </w:tcPr>
          <w:p>
            <w:pPr>
              <w:pStyle w:val="ListParagraph"/>
              <w:ind w:left="0" w:right="31"/>
              <w:jc w:val="right"/>
              <w:rPr>
                <w:rFonts w:ascii="Arial Narrow" w:hAnsi="Arial Narrow" w:cs="Arial"/>
                <w:color w:val="000000" w:themeColor="text1"/>
                <w:sz w:val="20"/>
                <w:szCs w:val="20"/>
              </w:rPr>
            </w:pPr>
            <w:r>
              <w:rPr>
                <w:rFonts w:ascii="Arial Narrow" w:hAnsi="Arial Narrow" w:cs="Arial"/>
                <w:color w:val="000000" w:themeColor="text1"/>
                <w:sz w:val="20"/>
                <w:szCs w:val="20"/>
              </w:rPr>
              <w:t>138,825.24</w:t>
            </w:r>
          </w:p>
        </w:tc>
        <w:tc>
          <w:tcPr>
            <w:tcW w:w="1783" w:type="dxa"/>
            <w:tcBorders>
              <w:top w:val="nil"/>
              <w:left w:val="nil"/>
              <w:bottom w:val="single" w:sz="6" w:space="0" w:color="auto"/>
              <w:right w:val="nil"/>
            </w:tcBorders>
          </w:tcPr>
          <w:p>
            <w:pPr>
              <w:pStyle w:val="ListParagraph"/>
              <w:ind w:left="0"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85,036.93</w:t>
            </w:r>
          </w:p>
        </w:tc>
      </w:tr>
      <w:tr>
        <w:trPr>
          <w:trHeight w:val="239"/>
        </w:trPr>
        <w:tc>
          <w:tcPr>
            <w:tcW w:w="2830" w:type="dxa"/>
            <w:tcBorders>
              <w:top w:val="single" w:sz="6" w:space="0" w:color="auto"/>
              <w:left w:val="nil"/>
              <w:bottom w:val="double" w:sz="4" w:space="0" w:color="auto"/>
              <w:right w:val="nil"/>
            </w:tcBorders>
          </w:tcPr>
          <w:p>
            <w:pPr>
              <w:pStyle w:val="ListParagraph"/>
              <w:ind w:left="-110" w:right="31"/>
              <w:jc w:val="both"/>
              <w:rPr>
                <w:rFonts w:ascii="Arial Narrow" w:hAnsi="Arial Narrow" w:cs="Arial"/>
                <w:b/>
                <w:color w:val="000000" w:themeColor="text1"/>
                <w:sz w:val="20"/>
                <w:szCs w:val="20"/>
              </w:rPr>
            </w:pPr>
            <w:r>
              <w:rPr>
                <w:rFonts w:ascii="Arial Narrow" w:hAnsi="Arial Narrow" w:cs="Arial"/>
                <w:b/>
                <w:color w:val="000000" w:themeColor="text1"/>
                <w:sz w:val="20"/>
                <w:szCs w:val="20"/>
              </w:rPr>
              <w:t>TOTAL</w:t>
            </w:r>
          </w:p>
        </w:tc>
        <w:tc>
          <w:tcPr>
            <w:tcW w:w="2410" w:type="dxa"/>
            <w:tcBorders>
              <w:top w:val="single" w:sz="6" w:space="0" w:color="auto"/>
              <w:left w:val="nil"/>
              <w:bottom w:val="double" w:sz="4" w:space="0" w:color="auto"/>
              <w:right w:val="nil"/>
            </w:tcBorders>
          </w:tcPr>
          <w:p>
            <w:pPr>
              <w:ind w:right="31"/>
              <w:jc w:val="right"/>
              <w:rPr>
                <w:rFonts w:ascii="Arial Narrow" w:hAnsi="Arial Narrow" w:cs="Arial"/>
                <w:b/>
                <w:color w:val="000000" w:themeColor="text1"/>
                <w:sz w:val="20"/>
                <w:szCs w:val="20"/>
              </w:rPr>
            </w:pPr>
            <w:r>
              <w:rPr>
                <w:rFonts w:ascii="Arial Narrow" w:hAnsi="Arial Narrow" w:cs="Arial"/>
                <w:b/>
                <w:color w:val="000000" w:themeColor="text1"/>
                <w:sz w:val="20"/>
                <w:szCs w:val="20"/>
              </w:rPr>
              <w:t>P    803,593.91</w:t>
            </w:r>
          </w:p>
        </w:tc>
        <w:tc>
          <w:tcPr>
            <w:tcW w:w="1619" w:type="dxa"/>
            <w:tcBorders>
              <w:top w:val="single" w:sz="6" w:space="0" w:color="auto"/>
              <w:left w:val="nil"/>
              <w:bottom w:val="double" w:sz="4" w:space="0" w:color="auto"/>
              <w:right w:val="nil"/>
            </w:tcBorders>
          </w:tcPr>
          <w:p>
            <w:pPr>
              <w:pStyle w:val="ListParagraph"/>
              <w:ind w:left="0" w:right="31"/>
              <w:jc w:val="right"/>
              <w:rPr>
                <w:rFonts w:ascii="Arial Narrow" w:hAnsi="Arial Narrow" w:cs="Arial"/>
                <w:b/>
                <w:bCs/>
                <w:color w:val="000000" w:themeColor="text1"/>
                <w:sz w:val="20"/>
                <w:szCs w:val="20"/>
              </w:rPr>
            </w:pPr>
            <w:r>
              <w:rPr>
                <w:rFonts w:ascii="Arial Narrow" w:hAnsi="Arial Narrow" w:cs="Arial"/>
                <w:b/>
                <w:bCs/>
                <w:color w:val="000000" w:themeColor="text1"/>
                <w:sz w:val="20"/>
                <w:szCs w:val="20"/>
              </w:rPr>
              <w:t xml:space="preserve">P   653,814.71 </w:t>
            </w:r>
          </w:p>
        </w:tc>
        <w:tc>
          <w:tcPr>
            <w:tcW w:w="1783" w:type="dxa"/>
            <w:tcBorders>
              <w:top w:val="single" w:sz="6" w:space="0" w:color="auto"/>
              <w:left w:val="nil"/>
              <w:bottom w:val="double" w:sz="4" w:space="0" w:color="auto"/>
              <w:right w:val="nil"/>
            </w:tcBorders>
          </w:tcPr>
          <w:p>
            <w:pPr>
              <w:pStyle w:val="ListParagraph"/>
              <w:ind w:left="0" w:right="-110"/>
              <w:jc w:val="right"/>
              <w:rPr>
                <w:rFonts w:ascii="Arial Narrow" w:hAnsi="Arial Narrow" w:cs="Arial"/>
                <w:b/>
                <w:bCs/>
                <w:color w:val="000000" w:themeColor="text1"/>
                <w:sz w:val="20"/>
                <w:szCs w:val="20"/>
              </w:rPr>
            </w:pPr>
            <w:r>
              <w:rPr>
                <w:rFonts w:ascii="Arial Narrow" w:hAnsi="Arial Narrow" w:cs="Arial"/>
                <w:b/>
                <w:bCs/>
                <w:color w:val="000000" w:themeColor="text1"/>
                <w:sz w:val="20"/>
                <w:szCs w:val="20"/>
              </w:rPr>
              <w:t>P1,457,408.62</w:t>
            </w:r>
          </w:p>
        </w:tc>
      </w:tr>
    </w:tbl>
    <w:p>
      <w:pPr>
        <w:autoSpaceDE w:val="0"/>
        <w:autoSpaceDN w:val="0"/>
        <w:adjustRightInd w:val="0"/>
        <w:spacing w:after="0" w:line="240" w:lineRule="auto"/>
        <w:jc w:val="center"/>
        <w:rPr>
          <w:rFonts w:ascii="Arial" w:hAnsi="Arial" w:cs="Arial"/>
          <w:b/>
          <w:sz w:val="20"/>
          <w:szCs w:val="20"/>
          <w:lang w:eastAsia="en-PH"/>
        </w:rPr>
      </w:pPr>
    </w:p>
    <w:p>
      <w:pPr>
        <w:autoSpaceDE w:val="0"/>
        <w:autoSpaceDN w:val="0"/>
        <w:adjustRightInd w:val="0"/>
        <w:spacing w:after="0" w:line="240" w:lineRule="auto"/>
        <w:jc w:val="center"/>
        <w:rPr>
          <w:rFonts w:ascii="Arial" w:hAnsi="Arial" w:cs="Arial"/>
          <w:b/>
          <w:sz w:val="20"/>
          <w:szCs w:val="20"/>
          <w:lang w:eastAsia="en-PH"/>
        </w:rPr>
      </w:pPr>
    </w:p>
    <w:p>
      <w:pPr>
        <w:autoSpaceDE w:val="0"/>
        <w:autoSpaceDN w:val="0"/>
        <w:adjustRightInd w:val="0"/>
        <w:spacing w:after="0" w:line="240" w:lineRule="auto"/>
        <w:jc w:val="center"/>
        <w:rPr>
          <w:rFonts w:ascii="Arial" w:hAnsi="Arial" w:cs="Arial"/>
          <w:b/>
          <w:sz w:val="20"/>
          <w:szCs w:val="20"/>
          <w:lang w:eastAsia="en-PH"/>
        </w:rPr>
      </w:pPr>
    </w:p>
    <w:p>
      <w:pPr>
        <w:autoSpaceDE w:val="0"/>
        <w:autoSpaceDN w:val="0"/>
        <w:adjustRightInd w:val="0"/>
        <w:spacing w:after="0" w:line="240" w:lineRule="auto"/>
        <w:jc w:val="center"/>
        <w:rPr>
          <w:rFonts w:ascii="Arial" w:hAnsi="Arial" w:cs="Arial"/>
          <w:b/>
          <w:sz w:val="20"/>
          <w:szCs w:val="20"/>
          <w:lang w:eastAsia="en-PH"/>
        </w:rPr>
      </w:pPr>
    </w:p>
    <w:p>
      <w:pPr>
        <w:autoSpaceDE w:val="0"/>
        <w:autoSpaceDN w:val="0"/>
        <w:adjustRightInd w:val="0"/>
        <w:spacing w:after="0" w:line="240" w:lineRule="auto"/>
        <w:jc w:val="center"/>
        <w:rPr>
          <w:rFonts w:ascii="Arial" w:hAnsi="Arial" w:cs="Arial"/>
          <w:b/>
          <w:sz w:val="20"/>
          <w:szCs w:val="20"/>
          <w:lang w:eastAsia="en-PH"/>
        </w:rPr>
      </w:pPr>
    </w:p>
    <w:p>
      <w:pPr>
        <w:autoSpaceDE w:val="0"/>
        <w:autoSpaceDN w:val="0"/>
        <w:adjustRightInd w:val="0"/>
        <w:spacing w:after="0" w:line="240" w:lineRule="auto"/>
        <w:jc w:val="center"/>
        <w:rPr>
          <w:rFonts w:ascii="Arial" w:hAnsi="Arial" w:cs="Arial"/>
          <w:b/>
          <w:sz w:val="20"/>
          <w:szCs w:val="20"/>
          <w:lang w:eastAsia="en-PH"/>
        </w:rPr>
      </w:pPr>
    </w:p>
    <w:p>
      <w:pPr>
        <w:autoSpaceDE w:val="0"/>
        <w:autoSpaceDN w:val="0"/>
        <w:adjustRightInd w:val="0"/>
        <w:spacing w:after="0" w:line="240" w:lineRule="auto"/>
        <w:jc w:val="center"/>
        <w:rPr>
          <w:rFonts w:ascii="Arial" w:hAnsi="Arial" w:cs="Arial"/>
          <w:b/>
          <w:sz w:val="20"/>
          <w:szCs w:val="20"/>
          <w:lang w:eastAsia="en-PH"/>
        </w:rPr>
      </w:pPr>
      <w:r>
        <w:rPr>
          <w:rFonts w:ascii="Arial" w:hAnsi="Arial" w:cs="Arial"/>
          <w:b/>
          <w:sz w:val="20"/>
          <w:szCs w:val="20"/>
          <w:lang w:eastAsia="en-PH"/>
        </w:rPr>
        <w:t>Table 8 – Summary of Unadjusted Bank Reconciling Items</w:t>
      </w:r>
    </w:p>
    <w:p>
      <w:pPr>
        <w:autoSpaceDE w:val="0"/>
        <w:autoSpaceDN w:val="0"/>
        <w:adjustRightInd w:val="0"/>
        <w:spacing w:after="0" w:line="240" w:lineRule="auto"/>
        <w:jc w:val="center"/>
        <w:rPr>
          <w:rFonts w:ascii="Arial" w:hAnsi="Arial" w:cs="Arial"/>
          <w:b/>
          <w:sz w:val="20"/>
          <w:szCs w:val="20"/>
          <w:lang w:eastAsia="en-PH"/>
        </w:rPr>
      </w:pPr>
      <w:r>
        <w:rPr>
          <w:rFonts w:ascii="Arial" w:hAnsi="Arial" w:cs="Arial"/>
          <w:b/>
          <w:sz w:val="20"/>
          <w:szCs w:val="20"/>
          <w:lang w:eastAsia="en-PH"/>
        </w:rPr>
        <w:t>For CYs 2009-2020</w:t>
      </w:r>
    </w:p>
    <w:p>
      <w:pPr>
        <w:autoSpaceDE w:val="0"/>
        <w:autoSpaceDN w:val="0"/>
        <w:adjustRightInd w:val="0"/>
        <w:spacing w:after="0" w:line="240" w:lineRule="auto"/>
        <w:jc w:val="center"/>
        <w:rPr>
          <w:rFonts w:ascii="Arial" w:hAnsi="Arial" w:cs="Arial"/>
          <w:b/>
          <w:sz w:val="20"/>
          <w:szCs w:val="20"/>
          <w:lang w:eastAsia="en-PH"/>
        </w:rPr>
      </w:pPr>
    </w:p>
    <w:tbl>
      <w:tblPr>
        <w:tblStyle w:val="TableGrid"/>
        <w:tblW w:w="966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1616"/>
        <w:gridCol w:w="1559"/>
        <w:gridCol w:w="1559"/>
        <w:gridCol w:w="1418"/>
        <w:gridCol w:w="1440"/>
      </w:tblGrid>
      <w:tr>
        <w:trPr>
          <w:trHeight w:val="160"/>
        </w:trPr>
        <w:tc>
          <w:tcPr>
            <w:tcW w:w="2070" w:type="dxa"/>
            <w:tcBorders>
              <w:top w:val="single" w:sz="4" w:space="0" w:color="auto"/>
              <w:bottom w:val="single" w:sz="4" w:space="0" w:color="auto"/>
            </w:tcBorders>
            <w:vAlign w:val="bottom"/>
          </w:tcPr>
          <w:p>
            <w:pPr>
              <w:pStyle w:val="ListParagraph"/>
              <w:ind w:left="193" w:hanging="283"/>
              <w:rPr>
                <w:rFonts w:ascii="Arial Narrow" w:hAnsi="Arial Narrow" w:cs="Arial"/>
                <w:b/>
                <w:color w:val="000000" w:themeColor="text1"/>
                <w:sz w:val="20"/>
                <w:szCs w:val="20"/>
              </w:rPr>
            </w:pPr>
            <w:r>
              <w:rPr>
                <w:rFonts w:ascii="Arial Narrow" w:hAnsi="Arial Narrow" w:cs="Arial"/>
                <w:b/>
                <w:color w:val="000000" w:themeColor="text1"/>
                <w:sz w:val="20"/>
                <w:szCs w:val="20"/>
              </w:rPr>
              <w:t>Account No.</w:t>
            </w:r>
          </w:p>
        </w:tc>
        <w:tc>
          <w:tcPr>
            <w:tcW w:w="1616" w:type="dxa"/>
            <w:tcBorders>
              <w:top w:val="single" w:sz="4" w:space="0" w:color="auto"/>
              <w:bottom w:val="single" w:sz="4" w:space="0" w:color="auto"/>
            </w:tcBorders>
            <w:vAlign w:val="bottom"/>
          </w:tcPr>
          <w:p>
            <w:pPr>
              <w:pStyle w:val="ListParagraph"/>
              <w:ind w:left="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Outstanding Checks</w:t>
            </w:r>
          </w:p>
        </w:tc>
        <w:tc>
          <w:tcPr>
            <w:tcW w:w="1559" w:type="dxa"/>
            <w:tcBorders>
              <w:top w:val="single" w:sz="4" w:space="0" w:color="auto"/>
              <w:bottom w:val="single" w:sz="4" w:space="0" w:color="auto"/>
            </w:tcBorders>
            <w:vAlign w:val="bottom"/>
          </w:tcPr>
          <w:p>
            <w:pPr>
              <w:pStyle w:val="ListParagraph"/>
              <w:ind w:left="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Unposted Deposits</w:t>
            </w:r>
          </w:p>
        </w:tc>
        <w:tc>
          <w:tcPr>
            <w:tcW w:w="1559" w:type="dxa"/>
            <w:tcBorders>
              <w:top w:val="single" w:sz="4" w:space="0" w:color="auto"/>
              <w:bottom w:val="single" w:sz="4" w:space="0" w:color="auto"/>
            </w:tcBorders>
            <w:vAlign w:val="bottom"/>
          </w:tcPr>
          <w:p>
            <w:pPr>
              <w:pStyle w:val="ListParagraph"/>
              <w:ind w:left="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Over posted Remittance</w:t>
            </w:r>
          </w:p>
        </w:tc>
        <w:tc>
          <w:tcPr>
            <w:tcW w:w="1418" w:type="dxa"/>
            <w:tcBorders>
              <w:top w:val="single" w:sz="4" w:space="0" w:color="auto"/>
              <w:bottom w:val="single" w:sz="4" w:space="0" w:color="auto"/>
            </w:tcBorders>
            <w:vAlign w:val="bottom"/>
          </w:tcPr>
          <w:p>
            <w:pPr>
              <w:pStyle w:val="ListParagraph"/>
              <w:ind w:left="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Bank Errors / Not on us</w:t>
            </w:r>
          </w:p>
        </w:tc>
        <w:tc>
          <w:tcPr>
            <w:tcW w:w="1440" w:type="dxa"/>
            <w:tcBorders>
              <w:top w:val="single" w:sz="4" w:space="0" w:color="auto"/>
              <w:bottom w:val="single" w:sz="4" w:space="0" w:color="auto"/>
            </w:tcBorders>
            <w:vAlign w:val="bottom"/>
          </w:tcPr>
          <w:p>
            <w:pPr>
              <w:pStyle w:val="ListParagraph"/>
              <w:ind w:left="0" w:right="-38"/>
              <w:jc w:val="right"/>
              <w:rPr>
                <w:rFonts w:ascii="Arial Narrow" w:hAnsi="Arial Narrow" w:cs="Arial"/>
                <w:b/>
                <w:color w:val="000000" w:themeColor="text1"/>
                <w:sz w:val="20"/>
                <w:szCs w:val="20"/>
              </w:rPr>
            </w:pPr>
            <w:r>
              <w:rPr>
                <w:rFonts w:ascii="Arial Narrow" w:hAnsi="Arial Narrow" w:cs="Arial"/>
                <w:b/>
                <w:color w:val="000000" w:themeColor="text1"/>
                <w:sz w:val="20"/>
                <w:szCs w:val="20"/>
              </w:rPr>
              <w:t>Total</w:t>
            </w:r>
          </w:p>
        </w:tc>
      </w:tr>
      <w:tr>
        <w:trPr>
          <w:trHeight w:val="403"/>
        </w:trPr>
        <w:tc>
          <w:tcPr>
            <w:tcW w:w="2070" w:type="dxa"/>
            <w:tcBorders>
              <w:top w:val="single" w:sz="4" w:space="0" w:color="auto"/>
            </w:tcBorders>
            <w:vAlign w:val="bottom"/>
          </w:tcPr>
          <w:p>
            <w:pPr>
              <w:pStyle w:val="NoSpacing"/>
              <w:ind w:left="193" w:hanging="283"/>
              <w:rPr>
                <w:rFonts w:ascii="Arial Narrow" w:hAnsi="Arial Narrow" w:cs="Arial"/>
                <w:color w:val="000000" w:themeColor="text1"/>
                <w:sz w:val="20"/>
                <w:szCs w:val="20"/>
              </w:rPr>
            </w:pPr>
            <w:r>
              <w:rPr>
                <w:rFonts w:ascii="Arial Narrow" w:hAnsi="Arial Narrow" w:cs="Arial"/>
                <w:color w:val="000000" w:themeColor="text1"/>
                <w:sz w:val="20"/>
                <w:szCs w:val="20"/>
              </w:rPr>
              <w:t>LBP Acct No. 3102XXXX</w:t>
            </w:r>
          </w:p>
          <w:p>
            <w:pPr>
              <w:pStyle w:val="ListParagraph"/>
              <w:ind w:left="193" w:hanging="283"/>
              <w:jc w:val="both"/>
              <w:rPr>
                <w:rFonts w:ascii="Arial Narrow" w:hAnsi="Arial Narrow" w:cs="Arial"/>
                <w:color w:val="000000" w:themeColor="text1"/>
                <w:sz w:val="20"/>
                <w:szCs w:val="20"/>
              </w:rPr>
            </w:pPr>
            <w:r>
              <w:rPr>
                <w:rFonts w:ascii="Arial Narrow" w:hAnsi="Arial Narrow" w:cs="Arial"/>
                <w:color w:val="000000" w:themeColor="text1"/>
                <w:sz w:val="20"/>
                <w:szCs w:val="20"/>
              </w:rPr>
              <w:t>(Main Account)</w:t>
            </w:r>
          </w:p>
        </w:tc>
        <w:tc>
          <w:tcPr>
            <w:tcW w:w="1616" w:type="dxa"/>
            <w:tcBorders>
              <w:top w:val="single" w:sz="4" w:space="0" w:color="auto"/>
            </w:tcBorders>
            <w:vAlign w:val="bottom"/>
          </w:tcPr>
          <w:p>
            <w:pPr>
              <w:pStyle w:val="ListParagraph"/>
              <w:ind w:left="-20"/>
              <w:rPr>
                <w:rFonts w:ascii="Arial Narrow" w:hAnsi="Arial Narrow" w:cs="Arial"/>
                <w:color w:val="000000" w:themeColor="text1"/>
                <w:sz w:val="20"/>
                <w:szCs w:val="20"/>
              </w:rPr>
            </w:pPr>
            <w:r>
              <w:rPr>
                <w:rFonts w:ascii="Arial Narrow" w:hAnsi="Arial Narrow" w:cs="Arial"/>
                <w:color w:val="000000" w:themeColor="text1"/>
                <w:sz w:val="20"/>
                <w:szCs w:val="20"/>
              </w:rPr>
              <w:t xml:space="preserve">     P                     -</w:t>
            </w:r>
          </w:p>
        </w:tc>
        <w:tc>
          <w:tcPr>
            <w:tcW w:w="1559" w:type="dxa"/>
            <w:tcBorders>
              <w:top w:val="single" w:sz="4" w:space="0" w:color="auto"/>
            </w:tcBorders>
            <w:vAlign w:val="bottom"/>
          </w:tcPr>
          <w:p>
            <w:pPr>
              <w:pStyle w:val="ListParagraph"/>
              <w:ind w:left="0"/>
              <w:rPr>
                <w:rFonts w:ascii="Arial Narrow" w:hAnsi="Arial Narrow" w:cs="Arial"/>
                <w:color w:val="000000" w:themeColor="text1"/>
                <w:sz w:val="20"/>
                <w:szCs w:val="20"/>
              </w:rPr>
            </w:pPr>
            <w:r>
              <w:rPr>
                <w:rFonts w:ascii="Arial Narrow" w:hAnsi="Arial Narrow" w:cs="Arial"/>
                <w:color w:val="000000" w:themeColor="text1"/>
                <w:sz w:val="20"/>
                <w:szCs w:val="20"/>
              </w:rPr>
              <w:t xml:space="preserve">  P                     -</w:t>
            </w:r>
          </w:p>
        </w:tc>
        <w:tc>
          <w:tcPr>
            <w:tcW w:w="1559" w:type="dxa"/>
            <w:tcBorders>
              <w:top w:val="single" w:sz="4" w:space="0" w:color="auto"/>
            </w:tcBorders>
            <w:vAlign w:val="bottom"/>
          </w:tcPr>
          <w:p>
            <w:pPr>
              <w:pStyle w:val="ListParagraph"/>
              <w:ind w:left="0"/>
              <w:rPr>
                <w:rFonts w:ascii="Arial Narrow" w:hAnsi="Arial Narrow" w:cs="Arial"/>
                <w:color w:val="000000" w:themeColor="text1"/>
                <w:sz w:val="20"/>
                <w:szCs w:val="20"/>
              </w:rPr>
            </w:pPr>
            <w:r>
              <w:rPr>
                <w:rFonts w:ascii="Arial Narrow" w:hAnsi="Arial Narrow" w:cs="Arial"/>
                <w:color w:val="000000" w:themeColor="text1"/>
                <w:sz w:val="20"/>
                <w:szCs w:val="20"/>
              </w:rPr>
              <w:t xml:space="preserve">  P                       -</w:t>
            </w:r>
          </w:p>
        </w:tc>
        <w:tc>
          <w:tcPr>
            <w:tcW w:w="1418" w:type="dxa"/>
            <w:tcBorders>
              <w:top w:val="single" w:sz="4" w:space="0" w:color="auto"/>
            </w:tcBorders>
            <w:vAlign w:val="bottom"/>
          </w:tcPr>
          <w:p>
            <w:pPr>
              <w:pStyle w:val="ListParagraph"/>
              <w:ind w:left="0"/>
              <w:rPr>
                <w:rFonts w:ascii="Arial Narrow" w:hAnsi="Arial Narrow" w:cs="Arial"/>
                <w:color w:val="000000" w:themeColor="text1"/>
                <w:sz w:val="20"/>
                <w:szCs w:val="20"/>
              </w:rPr>
            </w:pPr>
            <w:r>
              <w:rPr>
                <w:rFonts w:ascii="Arial Narrow" w:hAnsi="Arial Narrow" w:cs="Calibri"/>
                <w:color w:val="000000" w:themeColor="text1"/>
                <w:sz w:val="20"/>
                <w:szCs w:val="20"/>
              </w:rPr>
              <w:t>P   (300.00)</w:t>
            </w:r>
          </w:p>
        </w:tc>
        <w:tc>
          <w:tcPr>
            <w:tcW w:w="1440" w:type="dxa"/>
            <w:tcBorders>
              <w:top w:val="single" w:sz="4" w:space="0" w:color="auto"/>
            </w:tcBorders>
            <w:vAlign w:val="bottom"/>
          </w:tcPr>
          <w:p>
            <w:pPr>
              <w:ind w:left="-110" w:right="-38"/>
              <w:jc w:val="right"/>
              <w:rPr>
                <w:rFonts w:ascii="Arial Narrow" w:hAnsi="Arial Narrow" w:cs="Arial"/>
                <w:color w:val="000000" w:themeColor="text1"/>
                <w:sz w:val="20"/>
                <w:szCs w:val="20"/>
              </w:rPr>
            </w:pPr>
            <w:r>
              <w:rPr>
                <w:rFonts w:ascii="Arial Narrow" w:hAnsi="Arial Narrow" w:cs="Calibri"/>
                <w:color w:val="000000" w:themeColor="text1"/>
                <w:sz w:val="20"/>
                <w:szCs w:val="20"/>
              </w:rPr>
              <w:t xml:space="preserve">    P           (300.00)</w:t>
            </w:r>
          </w:p>
        </w:tc>
      </w:tr>
      <w:tr>
        <w:trPr>
          <w:trHeight w:val="415"/>
        </w:trPr>
        <w:tc>
          <w:tcPr>
            <w:tcW w:w="2070" w:type="dxa"/>
            <w:vAlign w:val="bottom"/>
          </w:tcPr>
          <w:p>
            <w:pPr>
              <w:pStyle w:val="NoSpacing"/>
              <w:ind w:left="193" w:right="-20" w:hanging="283"/>
              <w:rPr>
                <w:rFonts w:ascii="Arial Narrow" w:hAnsi="Arial Narrow" w:cs="Arial"/>
                <w:color w:val="000000" w:themeColor="text1"/>
                <w:sz w:val="20"/>
                <w:szCs w:val="20"/>
              </w:rPr>
            </w:pPr>
            <w:r>
              <w:rPr>
                <w:rFonts w:ascii="Arial Narrow" w:hAnsi="Arial Narrow" w:cs="Arial"/>
                <w:color w:val="000000" w:themeColor="text1"/>
                <w:sz w:val="20"/>
                <w:szCs w:val="20"/>
              </w:rPr>
              <w:t>PNB Acct. No. 1212XXX</w:t>
            </w:r>
          </w:p>
          <w:p>
            <w:pPr>
              <w:pStyle w:val="ListParagraph"/>
              <w:ind w:left="193" w:hanging="283"/>
              <w:jc w:val="both"/>
              <w:rPr>
                <w:rFonts w:ascii="Arial Narrow" w:hAnsi="Arial Narrow" w:cs="Arial"/>
                <w:color w:val="000000" w:themeColor="text1"/>
                <w:sz w:val="20"/>
                <w:szCs w:val="20"/>
              </w:rPr>
            </w:pPr>
            <w:r>
              <w:rPr>
                <w:rFonts w:ascii="Arial Narrow" w:hAnsi="Arial Narrow" w:cs="Arial"/>
                <w:color w:val="000000" w:themeColor="text1"/>
                <w:sz w:val="20"/>
                <w:szCs w:val="20"/>
              </w:rPr>
              <w:t>(Main Account)</w:t>
            </w:r>
          </w:p>
        </w:tc>
        <w:tc>
          <w:tcPr>
            <w:tcW w:w="1616" w:type="dxa"/>
            <w:vAlign w:val="bottom"/>
          </w:tcPr>
          <w:p>
            <w:pPr>
              <w:pStyle w:val="ListParagraph"/>
              <w:ind w:left="0"/>
              <w:jc w:val="right"/>
              <w:rPr>
                <w:rFonts w:ascii="Arial Narrow" w:hAnsi="Arial Narrow" w:cs="Arial"/>
                <w:color w:val="000000" w:themeColor="text1"/>
                <w:sz w:val="20"/>
                <w:szCs w:val="20"/>
              </w:rPr>
            </w:pPr>
            <w:r>
              <w:rPr>
                <w:rFonts w:ascii="Arial Narrow" w:hAnsi="Arial Narrow" w:cs="Arial"/>
                <w:color w:val="000000" w:themeColor="text1"/>
                <w:sz w:val="20"/>
                <w:szCs w:val="20"/>
              </w:rPr>
              <w:t>-</w:t>
            </w:r>
          </w:p>
        </w:tc>
        <w:tc>
          <w:tcPr>
            <w:tcW w:w="1559" w:type="dxa"/>
            <w:vAlign w:val="bottom"/>
          </w:tcPr>
          <w:p>
            <w:pPr>
              <w:pStyle w:val="ListParagraph"/>
              <w:ind w:left="0"/>
              <w:jc w:val="right"/>
              <w:rPr>
                <w:rFonts w:ascii="Arial Narrow" w:hAnsi="Arial Narrow" w:cs="Arial"/>
                <w:color w:val="000000" w:themeColor="text1"/>
                <w:sz w:val="20"/>
                <w:szCs w:val="20"/>
              </w:rPr>
            </w:pPr>
            <w:r>
              <w:rPr>
                <w:rFonts w:ascii="Arial Narrow" w:hAnsi="Arial Narrow" w:cs="Calibri"/>
                <w:color w:val="000000" w:themeColor="text1"/>
                <w:sz w:val="20"/>
                <w:szCs w:val="20"/>
              </w:rPr>
              <w:t>12,897,531.95</w:t>
            </w:r>
          </w:p>
        </w:tc>
        <w:tc>
          <w:tcPr>
            <w:tcW w:w="1559" w:type="dxa"/>
            <w:vAlign w:val="bottom"/>
          </w:tcPr>
          <w:p>
            <w:pPr>
              <w:pStyle w:val="ListParagraph"/>
              <w:ind w:left="0"/>
              <w:jc w:val="right"/>
              <w:rPr>
                <w:rFonts w:ascii="Arial Narrow" w:hAnsi="Arial Narrow" w:cs="Arial"/>
                <w:color w:val="000000" w:themeColor="text1"/>
                <w:sz w:val="20"/>
                <w:szCs w:val="20"/>
              </w:rPr>
            </w:pPr>
            <w:r>
              <w:rPr>
                <w:rFonts w:ascii="Arial Narrow" w:hAnsi="Arial Narrow" w:cs="Calibri"/>
                <w:color w:val="000000" w:themeColor="text1"/>
                <w:sz w:val="20"/>
                <w:szCs w:val="20"/>
              </w:rPr>
              <w:t>(10,894,090.06)</w:t>
            </w:r>
          </w:p>
        </w:tc>
        <w:tc>
          <w:tcPr>
            <w:tcW w:w="1418" w:type="dxa"/>
            <w:vAlign w:val="bottom"/>
          </w:tcPr>
          <w:p>
            <w:pPr>
              <w:pStyle w:val="ListParagraph"/>
              <w:ind w:left="0"/>
              <w:jc w:val="right"/>
              <w:rPr>
                <w:rFonts w:ascii="Arial Narrow" w:hAnsi="Arial Narrow" w:cs="Arial"/>
                <w:color w:val="000000" w:themeColor="text1"/>
                <w:sz w:val="20"/>
                <w:szCs w:val="20"/>
              </w:rPr>
            </w:pPr>
            <w:r>
              <w:rPr>
                <w:rFonts w:ascii="Arial Narrow" w:hAnsi="Arial Narrow" w:cs="Calibri"/>
                <w:color w:val="000000" w:themeColor="text1"/>
                <w:sz w:val="20"/>
                <w:szCs w:val="20"/>
              </w:rPr>
              <w:t>256,211.48</w:t>
            </w:r>
          </w:p>
        </w:tc>
        <w:tc>
          <w:tcPr>
            <w:tcW w:w="1440" w:type="dxa"/>
            <w:vAlign w:val="bottom"/>
          </w:tcPr>
          <w:p>
            <w:pPr>
              <w:pStyle w:val="ListParagraph"/>
              <w:ind w:left="0" w:right="-38"/>
              <w:jc w:val="right"/>
              <w:rPr>
                <w:rFonts w:ascii="Arial Narrow" w:hAnsi="Arial Narrow" w:cs="Arial"/>
                <w:color w:val="000000" w:themeColor="text1"/>
                <w:sz w:val="20"/>
                <w:szCs w:val="20"/>
              </w:rPr>
            </w:pPr>
            <w:r>
              <w:rPr>
                <w:rFonts w:ascii="Arial Narrow" w:hAnsi="Arial Narrow" w:cs="Arial"/>
                <w:color w:val="000000" w:themeColor="text1"/>
                <w:sz w:val="20"/>
                <w:szCs w:val="20"/>
              </w:rPr>
              <w:t>2,259,653.37</w:t>
            </w:r>
          </w:p>
        </w:tc>
      </w:tr>
      <w:tr>
        <w:trPr>
          <w:trHeight w:val="403"/>
        </w:trPr>
        <w:tc>
          <w:tcPr>
            <w:tcW w:w="2070" w:type="dxa"/>
            <w:tcBorders>
              <w:bottom w:val="single" w:sz="4" w:space="0" w:color="auto"/>
            </w:tcBorders>
            <w:vAlign w:val="bottom"/>
          </w:tcPr>
          <w:p>
            <w:pPr>
              <w:pStyle w:val="NoSpacing"/>
              <w:ind w:left="193" w:right="-241" w:hanging="283"/>
              <w:rPr>
                <w:rFonts w:ascii="Arial Narrow" w:hAnsi="Arial Narrow" w:cs="Arial"/>
                <w:color w:val="000000" w:themeColor="text1"/>
                <w:sz w:val="20"/>
                <w:szCs w:val="20"/>
              </w:rPr>
            </w:pPr>
            <w:r>
              <w:rPr>
                <w:rFonts w:ascii="Arial Narrow" w:hAnsi="Arial Narrow" w:cs="Arial"/>
                <w:color w:val="000000" w:themeColor="text1"/>
                <w:sz w:val="20"/>
                <w:szCs w:val="20"/>
              </w:rPr>
              <w:t>LBP Acct No.  3102XXXX</w:t>
            </w:r>
          </w:p>
          <w:p>
            <w:pPr>
              <w:pStyle w:val="ListParagraph"/>
              <w:ind w:left="193" w:hanging="283"/>
              <w:jc w:val="both"/>
              <w:rPr>
                <w:rFonts w:ascii="Arial Narrow" w:hAnsi="Arial Narrow" w:cs="Arial"/>
                <w:color w:val="000000" w:themeColor="text1"/>
                <w:sz w:val="20"/>
                <w:szCs w:val="20"/>
              </w:rPr>
            </w:pPr>
            <w:r>
              <w:rPr>
                <w:rFonts w:ascii="Arial Narrow" w:hAnsi="Arial Narrow" w:cs="Arial"/>
                <w:color w:val="000000" w:themeColor="text1"/>
                <w:sz w:val="20"/>
                <w:szCs w:val="20"/>
              </w:rPr>
              <w:t>(Operating Fund)</w:t>
            </w:r>
          </w:p>
        </w:tc>
        <w:tc>
          <w:tcPr>
            <w:tcW w:w="1616" w:type="dxa"/>
            <w:tcBorders>
              <w:bottom w:val="single" w:sz="4" w:space="0" w:color="auto"/>
            </w:tcBorders>
            <w:vAlign w:val="bottom"/>
          </w:tcPr>
          <w:p>
            <w:pPr>
              <w:pStyle w:val="ListParagraph"/>
              <w:ind w:left="0"/>
              <w:jc w:val="right"/>
              <w:rPr>
                <w:rFonts w:ascii="Arial Narrow" w:hAnsi="Arial Narrow" w:cs="Arial"/>
                <w:color w:val="000000" w:themeColor="text1"/>
                <w:sz w:val="20"/>
                <w:szCs w:val="20"/>
              </w:rPr>
            </w:pPr>
            <w:r>
              <w:rPr>
                <w:rFonts w:ascii="Arial Narrow" w:hAnsi="Arial Narrow" w:cs="Arial"/>
                <w:color w:val="000000" w:themeColor="text1"/>
                <w:sz w:val="20"/>
                <w:szCs w:val="20"/>
              </w:rPr>
              <w:t>(24,579,593.62)</w:t>
            </w:r>
          </w:p>
        </w:tc>
        <w:tc>
          <w:tcPr>
            <w:tcW w:w="1559" w:type="dxa"/>
            <w:tcBorders>
              <w:bottom w:val="single" w:sz="4" w:space="0" w:color="auto"/>
            </w:tcBorders>
            <w:vAlign w:val="bottom"/>
          </w:tcPr>
          <w:p>
            <w:pPr>
              <w:pStyle w:val="ListParagraph"/>
              <w:ind w:left="0"/>
              <w:jc w:val="right"/>
              <w:rPr>
                <w:rFonts w:ascii="Arial Narrow" w:hAnsi="Arial Narrow" w:cs="Arial"/>
                <w:color w:val="000000" w:themeColor="text1"/>
                <w:sz w:val="20"/>
                <w:szCs w:val="20"/>
              </w:rPr>
            </w:pPr>
            <w:r>
              <w:rPr>
                <w:rFonts w:ascii="Arial Narrow" w:hAnsi="Arial Narrow" w:cs="Arial"/>
                <w:color w:val="000000" w:themeColor="text1"/>
                <w:sz w:val="20"/>
                <w:szCs w:val="20"/>
              </w:rPr>
              <w:t>-</w:t>
            </w:r>
          </w:p>
        </w:tc>
        <w:tc>
          <w:tcPr>
            <w:tcW w:w="1559" w:type="dxa"/>
            <w:tcBorders>
              <w:bottom w:val="single" w:sz="4" w:space="0" w:color="auto"/>
            </w:tcBorders>
            <w:vAlign w:val="bottom"/>
          </w:tcPr>
          <w:p>
            <w:pPr>
              <w:pStyle w:val="ListParagraph"/>
              <w:ind w:left="0"/>
              <w:jc w:val="right"/>
              <w:rPr>
                <w:rFonts w:ascii="Arial Narrow" w:hAnsi="Arial Narrow" w:cs="Arial"/>
                <w:color w:val="000000" w:themeColor="text1"/>
                <w:sz w:val="20"/>
                <w:szCs w:val="20"/>
              </w:rPr>
            </w:pPr>
            <w:r>
              <w:rPr>
                <w:rFonts w:ascii="Arial Narrow" w:hAnsi="Arial Narrow" w:cs="Arial"/>
                <w:color w:val="000000" w:themeColor="text1"/>
                <w:sz w:val="20"/>
                <w:szCs w:val="20"/>
              </w:rPr>
              <w:t>-</w:t>
            </w:r>
          </w:p>
        </w:tc>
        <w:tc>
          <w:tcPr>
            <w:tcW w:w="1418" w:type="dxa"/>
            <w:tcBorders>
              <w:bottom w:val="single" w:sz="4" w:space="0" w:color="auto"/>
            </w:tcBorders>
            <w:vAlign w:val="bottom"/>
          </w:tcPr>
          <w:p>
            <w:pPr>
              <w:pStyle w:val="ListParagraph"/>
              <w:ind w:left="0"/>
              <w:jc w:val="right"/>
              <w:rPr>
                <w:rFonts w:ascii="Arial Narrow" w:hAnsi="Arial Narrow" w:cs="Arial"/>
                <w:color w:val="000000" w:themeColor="text1"/>
                <w:sz w:val="20"/>
                <w:szCs w:val="20"/>
              </w:rPr>
            </w:pPr>
            <w:r>
              <w:rPr>
                <w:rFonts w:ascii="Arial Narrow" w:hAnsi="Arial Narrow" w:cs="Arial"/>
                <w:color w:val="000000" w:themeColor="text1"/>
                <w:sz w:val="20"/>
                <w:szCs w:val="20"/>
              </w:rPr>
              <w:t>-</w:t>
            </w:r>
          </w:p>
        </w:tc>
        <w:tc>
          <w:tcPr>
            <w:tcW w:w="1440" w:type="dxa"/>
            <w:tcBorders>
              <w:bottom w:val="single" w:sz="4" w:space="0" w:color="auto"/>
            </w:tcBorders>
            <w:vAlign w:val="bottom"/>
          </w:tcPr>
          <w:p>
            <w:pPr>
              <w:pStyle w:val="ListParagraph"/>
              <w:ind w:left="0" w:right="-38"/>
              <w:jc w:val="right"/>
              <w:rPr>
                <w:rFonts w:ascii="Arial Narrow" w:hAnsi="Arial Narrow" w:cs="Arial"/>
                <w:color w:val="000000" w:themeColor="text1"/>
                <w:sz w:val="20"/>
                <w:szCs w:val="20"/>
              </w:rPr>
            </w:pPr>
            <w:r>
              <w:rPr>
                <w:rFonts w:ascii="Arial Narrow" w:hAnsi="Arial Narrow" w:cs="Arial"/>
                <w:color w:val="000000" w:themeColor="text1"/>
                <w:sz w:val="20"/>
                <w:szCs w:val="20"/>
              </w:rPr>
              <w:t>(24,579,593.62)</w:t>
            </w:r>
          </w:p>
        </w:tc>
      </w:tr>
      <w:tr>
        <w:trPr>
          <w:trHeight w:val="246"/>
        </w:trPr>
        <w:tc>
          <w:tcPr>
            <w:tcW w:w="2070" w:type="dxa"/>
            <w:tcBorders>
              <w:top w:val="single" w:sz="4" w:space="0" w:color="auto"/>
              <w:bottom w:val="double" w:sz="4" w:space="0" w:color="auto"/>
            </w:tcBorders>
          </w:tcPr>
          <w:p>
            <w:pPr>
              <w:pStyle w:val="ListParagraph"/>
              <w:ind w:left="193" w:hanging="283"/>
              <w:jc w:val="both"/>
              <w:rPr>
                <w:rFonts w:ascii="Arial Narrow" w:hAnsi="Arial Narrow" w:cs="Arial"/>
                <w:b/>
                <w:color w:val="000000" w:themeColor="text1"/>
                <w:sz w:val="20"/>
                <w:szCs w:val="20"/>
              </w:rPr>
            </w:pPr>
            <w:r>
              <w:rPr>
                <w:rFonts w:ascii="Arial Narrow" w:hAnsi="Arial Narrow" w:cs="Arial"/>
                <w:b/>
                <w:color w:val="000000" w:themeColor="text1"/>
                <w:sz w:val="20"/>
                <w:szCs w:val="20"/>
              </w:rPr>
              <w:t>TOTAL</w:t>
            </w:r>
          </w:p>
        </w:tc>
        <w:tc>
          <w:tcPr>
            <w:tcW w:w="1616" w:type="dxa"/>
            <w:tcBorders>
              <w:top w:val="single" w:sz="4" w:space="0" w:color="auto"/>
              <w:bottom w:val="double" w:sz="4" w:space="0" w:color="auto"/>
            </w:tcBorders>
          </w:tcPr>
          <w:p>
            <w:pPr>
              <w:ind w:hanging="110"/>
              <w:jc w:val="right"/>
              <w:rPr>
                <w:rFonts w:ascii="Arial Narrow" w:hAnsi="Arial Narrow" w:cs="Arial"/>
                <w:b/>
                <w:color w:val="000000" w:themeColor="text1"/>
                <w:sz w:val="20"/>
                <w:szCs w:val="20"/>
              </w:rPr>
            </w:pPr>
            <w:r>
              <w:rPr>
                <w:rFonts w:ascii="Arial Narrow" w:hAnsi="Arial Narrow" w:cs="Arial"/>
                <w:b/>
                <w:bCs/>
                <w:color w:val="000000" w:themeColor="text1"/>
                <w:sz w:val="20"/>
                <w:szCs w:val="20"/>
              </w:rPr>
              <w:t>P(24,579,593.62)</w:t>
            </w:r>
          </w:p>
        </w:tc>
        <w:tc>
          <w:tcPr>
            <w:tcW w:w="1559" w:type="dxa"/>
            <w:tcBorders>
              <w:top w:val="single" w:sz="4" w:space="0" w:color="auto"/>
              <w:bottom w:val="double" w:sz="4" w:space="0" w:color="auto"/>
            </w:tcBorders>
          </w:tcPr>
          <w:p>
            <w:pPr>
              <w:pStyle w:val="ListParagraph"/>
              <w:ind w:left="0"/>
              <w:jc w:val="right"/>
              <w:rPr>
                <w:rFonts w:ascii="Arial Narrow" w:hAnsi="Arial Narrow" w:cs="Arial"/>
                <w:b/>
                <w:bCs/>
                <w:color w:val="000000" w:themeColor="text1"/>
                <w:sz w:val="20"/>
                <w:szCs w:val="20"/>
              </w:rPr>
            </w:pPr>
            <w:r>
              <w:rPr>
                <w:rFonts w:ascii="Arial Narrow" w:hAnsi="Arial Narrow" w:cs="Calibri"/>
                <w:b/>
                <w:color w:val="000000" w:themeColor="text1"/>
                <w:sz w:val="20"/>
                <w:szCs w:val="20"/>
              </w:rPr>
              <w:t>P12,897,531.95</w:t>
            </w:r>
          </w:p>
        </w:tc>
        <w:tc>
          <w:tcPr>
            <w:tcW w:w="1559" w:type="dxa"/>
            <w:tcBorders>
              <w:top w:val="single" w:sz="4" w:space="0" w:color="auto"/>
              <w:bottom w:val="double" w:sz="4" w:space="0" w:color="auto"/>
            </w:tcBorders>
          </w:tcPr>
          <w:p>
            <w:pPr>
              <w:pStyle w:val="ListParagraph"/>
              <w:ind w:left="0"/>
              <w:jc w:val="right"/>
              <w:rPr>
                <w:rFonts w:ascii="Arial Narrow" w:hAnsi="Arial Narrow" w:cs="Arial"/>
                <w:b/>
                <w:bCs/>
                <w:color w:val="000000" w:themeColor="text1"/>
                <w:sz w:val="20"/>
                <w:szCs w:val="20"/>
              </w:rPr>
            </w:pPr>
            <w:r>
              <w:rPr>
                <w:rFonts w:ascii="Arial Narrow" w:hAnsi="Arial Narrow" w:cs="Calibri"/>
                <w:b/>
                <w:color w:val="000000" w:themeColor="text1"/>
                <w:sz w:val="20"/>
                <w:szCs w:val="20"/>
              </w:rPr>
              <w:t>P(10,894,090.06)</w:t>
            </w:r>
          </w:p>
        </w:tc>
        <w:tc>
          <w:tcPr>
            <w:tcW w:w="1418" w:type="dxa"/>
            <w:tcBorders>
              <w:top w:val="single" w:sz="4" w:space="0" w:color="auto"/>
              <w:bottom w:val="double" w:sz="4" w:space="0" w:color="auto"/>
            </w:tcBorders>
          </w:tcPr>
          <w:p>
            <w:pPr>
              <w:pStyle w:val="ListParagraph"/>
              <w:ind w:left="0"/>
              <w:rPr>
                <w:rFonts w:ascii="Arial Narrow" w:hAnsi="Arial Narrow" w:cs="Arial"/>
                <w:b/>
                <w:bCs/>
                <w:color w:val="000000" w:themeColor="text1"/>
                <w:sz w:val="20"/>
                <w:szCs w:val="20"/>
              </w:rPr>
            </w:pPr>
            <w:r>
              <w:rPr>
                <w:rFonts w:ascii="Arial Narrow" w:hAnsi="Arial Narrow" w:cs="Calibri"/>
                <w:b/>
                <w:color w:val="000000" w:themeColor="text1"/>
                <w:sz w:val="20"/>
                <w:szCs w:val="20"/>
              </w:rPr>
              <w:t>P255,911.48</w:t>
            </w:r>
          </w:p>
        </w:tc>
        <w:tc>
          <w:tcPr>
            <w:tcW w:w="1440" w:type="dxa"/>
            <w:tcBorders>
              <w:top w:val="single" w:sz="4" w:space="0" w:color="auto"/>
              <w:bottom w:val="double" w:sz="4" w:space="0" w:color="auto"/>
            </w:tcBorders>
          </w:tcPr>
          <w:p>
            <w:pPr>
              <w:pStyle w:val="ListParagraph"/>
              <w:ind w:left="-300" w:right="-38" w:hanging="180"/>
              <w:jc w:val="right"/>
              <w:rPr>
                <w:rFonts w:ascii="Arial Narrow" w:hAnsi="Arial Narrow" w:cs="Arial"/>
                <w:b/>
                <w:bCs/>
                <w:color w:val="000000" w:themeColor="text1"/>
                <w:sz w:val="20"/>
                <w:szCs w:val="20"/>
              </w:rPr>
            </w:pPr>
            <w:r>
              <w:rPr>
                <w:rFonts w:ascii="Arial Narrow" w:hAnsi="Arial Narrow" w:cs="Arial"/>
                <w:b/>
                <w:bCs/>
                <w:color w:val="000000" w:themeColor="text1"/>
                <w:sz w:val="20"/>
                <w:szCs w:val="20"/>
              </w:rPr>
              <w:t xml:space="preserve"> P(22,320,240.25)</w:t>
            </w:r>
          </w:p>
        </w:tc>
      </w:tr>
    </w:tbl>
    <w:p>
      <w:pPr>
        <w:pStyle w:val="ListParagraph"/>
        <w:ind w:left="1440"/>
        <w:contextualSpacing/>
        <w:jc w:val="both"/>
        <w:rPr>
          <w:rFonts w:ascii="Arial" w:hAnsi="Arial" w:cs="Arial"/>
          <w:b/>
        </w:rPr>
      </w:pPr>
    </w:p>
    <w:p>
      <w:pPr>
        <w:pStyle w:val="ListParagraph"/>
        <w:numPr>
          <w:ilvl w:val="1"/>
          <w:numId w:val="17"/>
        </w:numPr>
        <w:ind w:left="1418" w:hanging="709"/>
        <w:jc w:val="both"/>
        <w:rPr>
          <w:rFonts w:ascii="Arial" w:hAnsi="Arial" w:cs="Arial"/>
          <w:b/>
          <w:color w:val="000000" w:themeColor="text1"/>
        </w:rPr>
      </w:pPr>
      <w:r>
        <w:rPr>
          <w:rFonts w:ascii="Arial" w:hAnsi="Arial" w:cs="Arial"/>
          <w:color w:val="000000" w:themeColor="text1"/>
          <w:sz w:val="22"/>
          <w:szCs w:val="22"/>
        </w:rPr>
        <w:t>Examination of the book reconciling items revealed that there were errors in the recording of the transactions totaling P0.804 million (see Table 7), consisting mostly of remittances from agents and fund transfers from PCSO branches, and P0.654 million unrecorded remittances from agents, deposits from PCSO branches, issued checks, debit to bank accounts and credit memos from CYs 2006 to 2020 which remained outstanding in the BRSs  as of December 31, 2020 due to lack of documents.</w:t>
      </w:r>
    </w:p>
    <w:p>
      <w:pPr>
        <w:pStyle w:val="ListParagraph"/>
        <w:ind w:left="1440"/>
        <w:contextualSpacing/>
        <w:jc w:val="both"/>
        <w:rPr>
          <w:rFonts w:ascii="Arial" w:hAnsi="Arial" w:cs="Arial"/>
          <w:b/>
        </w:rPr>
      </w:pPr>
    </w:p>
    <w:p>
      <w:pPr>
        <w:pStyle w:val="ListParagraph"/>
        <w:numPr>
          <w:ilvl w:val="1"/>
          <w:numId w:val="17"/>
        </w:numPr>
        <w:ind w:left="1418" w:hanging="709"/>
        <w:jc w:val="both"/>
        <w:rPr>
          <w:rFonts w:ascii="Arial" w:hAnsi="Arial" w:cs="Arial"/>
          <w:b/>
        </w:rPr>
      </w:pPr>
      <w:r>
        <w:rPr>
          <w:rFonts w:ascii="Arial" w:hAnsi="Arial" w:cs="Arial"/>
          <w:sz w:val="22"/>
          <w:szCs w:val="22"/>
        </w:rPr>
        <w:t xml:space="preserve">The bank reconciling items, on the other hand, reflected an </w:t>
      </w:r>
      <w:bookmarkStart w:id="1" w:name="_Hlk74161317"/>
      <w:r>
        <w:rPr>
          <w:rFonts w:ascii="Arial" w:hAnsi="Arial" w:cs="Arial"/>
          <w:sz w:val="22"/>
          <w:szCs w:val="22"/>
        </w:rPr>
        <w:t>unposted deposit, over posted remittance and bank errors from CYs 2009 to 2018 amounting to P12.897 million, P10.894 million and P0.256 million, respectively,</w:t>
      </w:r>
      <w:bookmarkEnd w:id="1"/>
      <w:r>
        <w:rPr>
          <w:rFonts w:ascii="Arial" w:hAnsi="Arial" w:cs="Arial"/>
          <w:sz w:val="22"/>
          <w:szCs w:val="22"/>
        </w:rPr>
        <w:t xml:space="preserve"> subject for verification with the concerned depository banks.</w:t>
      </w:r>
    </w:p>
    <w:p>
      <w:pPr>
        <w:pStyle w:val="ListParagraph"/>
        <w:rPr>
          <w:rFonts w:ascii="Arial" w:hAnsi="Arial" w:cs="Arial"/>
          <w:b/>
        </w:rPr>
      </w:pPr>
    </w:p>
    <w:p>
      <w:pPr>
        <w:pStyle w:val="ListParagraph"/>
        <w:numPr>
          <w:ilvl w:val="1"/>
          <w:numId w:val="17"/>
        </w:numPr>
        <w:ind w:left="1418" w:hanging="709"/>
        <w:jc w:val="both"/>
        <w:rPr>
          <w:rFonts w:ascii="Arial" w:hAnsi="Arial" w:cs="Arial"/>
          <w:b/>
        </w:rPr>
      </w:pPr>
      <w:r>
        <w:rPr>
          <w:rFonts w:ascii="Arial" w:hAnsi="Arial" w:cs="Arial"/>
          <w:sz w:val="22"/>
          <w:szCs w:val="22"/>
        </w:rPr>
        <w:t>The aforementioned book and bank reconciling items that remained unadjusted for long period cast doubt on the validity and reliability of the balance of the Cash in Bank account presented in the financial statements.</w:t>
      </w:r>
    </w:p>
    <w:p>
      <w:pPr>
        <w:spacing w:after="0" w:line="240" w:lineRule="auto"/>
        <w:ind w:left="720" w:right="2941"/>
        <w:contextualSpacing/>
        <w:jc w:val="both"/>
        <w:rPr>
          <w:rFonts w:ascii="Arial" w:hAnsi="Arial" w:cs="Arial"/>
          <w:i/>
        </w:rPr>
      </w:pPr>
    </w:p>
    <w:p>
      <w:pPr>
        <w:pStyle w:val="ListParagraph"/>
        <w:numPr>
          <w:ilvl w:val="1"/>
          <w:numId w:val="17"/>
        </w:numPr>
        <w:ind w:left="1418" w:hanging="709"/>
        <w:jc w:val="both"/>
        <w:rPr>
          <w:rFonts w:ascii="Arial" w:hAnsi="Arial" w:cs="Arial"/>
          <w:sz w:val="22"/>
          <w:szCs w:val="22"/>
        </w:rPr>
      </w:pPr>
      <w:r>
        <w:rPr>
          <w:rFonts w:ascii="Arial" w:hAnsi="Arial" w:cs="Arial"/>
          <w:sz w:val="22"/>
          <w:szCs w:val="22"/>
        </w:rPr>
        <w:t xml:space="preserve">Further, examination of the balances per books and the balances confirmed by the corresponding depository banks of the CF and PF accounts of the PCSO disclosed a total discrepancy of P46.930 million, as can be gleaned from Table 9. </w:t>
      </w:r>
    </w:p>
    <w:p>
      <w:pPr>
        <w:pStyle w:val="ListParagraph"/>
        <w:ind w:left="1440"/>
        <w:contextualSpacing/>
        <w:jc w:val="both"/>
        <w:rPr>
          <w:rFonts w:ascii="Arial" w:hAnsi="Arial" w:cs="Arial"/>
          <w:sz w:val="22"/>
          <w:szCs w:val="22"/>
        </w:rPr>
      </w:pPr>
    </w:p>
    <w:p>
      <w:pPr>
        <w:spacing w:after="0" w:line="240" w:lineRule="auto"/>
        <w:ind w:left="720"/>
        <w:jc w:val="center"/>
        <w:rPr>
          <w:rFonts w:ascii="Arial" w:hAnsi="Arial" w:cs="Arial"/>
          <w:b/>
          <w:sz w:val="20"/>
          <w:szCs w:val="20"/>
        </w:rPr>
      </w:pPr>
      <w:r>
        <w:rPr>
          <w:rFonts w:ascii="Arial" w:hAnsi="Arial" w:cs="Arial"/>
          <w:b/>
          <w:sz w:val="20"/>
          <w:szCs w:val="20"/>
        </w:rPr>
        <w:t>Table 9 – Discrepancy between the Balances per Books and Per</w:t>
      </w:r>
    </w:p>
    <w:p>
      <w:pPr>
        <w:spacing w:after="0" w:line="240" w:lineRule="auto"/>
        <w:ind w:left="720"/>
        <w:jc w:val="center"/>
        <w:rPr>
          <w:rFonts w:ascii="Arial" w:hAnsi="Arial" w:cs="Arial"/>
          <w:b/>
          <w:sz w:val="20"/>
          <w:szCs w:val="20"/>
        </w:rPr>
      </w:pPr>
      <w:r>
        <w:rPr>
          <w:rFonts w:ascii="Arial" w:hAnsi="Arial" w:cs="Arial"/>
          <w:b/>
          <w:sz w:val="20"/>
          <w:szCs w:val="20"/>
        </w:rPr>
        <w:t>Confirmed Balances of the Cash-in-Bank – CF and PF</w:t>
      </w:r>
    </w:p>
    <w:p>
      <w:pPr>
        <w:spacing w:after="0" w:line="240" w:lineRule="auto"/>
        <w:ind w:left="720"/>
        <w:jc w:val="center"/>
        <w:rPr>
          <w:rFonts w:ascii="Arial" w:hAnsi="Arial" w:cs="Arial"/>
          <w:b/>
          <w:sz w:val="20"/>
          <w:szCs w:val="20"/>
        </w:rPr>
      </w:pPr>
    </w:p>
    <w:tbl>
      <w:tblPr>
        <w:tblW w:w="92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38"/>
        <w:gridCol w:w="1595"/>
        <w:gridCol w:w="270"/>
        <w:gridCol w:w="1871"/>
        <w:gridCol w:w="238"/>
        <w:gridCol w:w="1605"/>
      </w:tblGrid>
      <w:tr>
        <w:trPr>
          <w:trHeight w:val="323"/>
          <w:tblHeader/>
          <w:jc w:val="right"/>
        </w:trPr>
        <w:tc>
          <w:tcPr>
            <w:tcW w:w="3397" w:type="dxa"/>
            <w:tcBorders>
              <w:left w:val="nil"/>
              <w:bottom w:val="single" w:sz="4" w:space="0" w:color="auto"/>
              <w:right w:val="nil"/>
            </w:tcBorders>
            <w:shd w:val="clear" w:color="auto" w:fill="auto"/>
            <w:vAlign w:val="bottom"/>
          </w:tcPr>
          <w:p>
            <w:pPr>
              <w:pStyle w:val="NoSpacing"/>
              <w:ind w:left="-20" w:right="-241" w:hanging="92"/>
              <w:rPr>
                <w:rFonts w:ascii="Arial Narrow" w:hAnsi="Arial Narrow" w:cs="Arial"/>
                <w:b/>
                <w:color w:val="000000" w:themeColor="text1"/>
                <w:sz w:val="20"/>
                <w:szCs w:val="20"/>
              </w:rPr>
            </w:pPr>
            <w:r>
              <w:rPr>
                <w:rFonts w:ascii="Arial Narrow" w:hAnsi="Arial Narrow" w:cs="Arial"/>
                <w:b/>
                <w:color w:val="000000" w:themeColor="text1"/>
                <w:sz w:val="20"/>
                <w:szCs w:val="20"/>
              </w:rPr>
              <w:t>Account No.</w:t>
            </w:r>
          </w:p>
        </w:tc>
        <w:tc>
          <w:tcPr>
            <w:tcW w:w="1833" w:type="dxa"/>
            <w:gridSpan w:val="2"/>
            <w:tcBorders>
              <w:left w:val="nil"/>
              <w:bottom w:val="single" w:sz="4" w:space="0" w:color="auto"/>
              <w:right w:val="nil"/>
            </w:tcBorders>
            <w:vAlign w:val="bottom"/>
          </w:tcPr>
          <w:p>
            <w:pPr>
              <w:pStyle w:val="NoSpacing"/>
              <w:ind w:left="-80" w:right="-2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Balance per Bank Confirmation</w:t>
            </w:r>
          </w:p>
        </w:tc>
        <w:tc>
          <w:tcPr>
            <w:tcW w:w="2141" w:type="dxa"/>
            <w:gridSpan w:val="2"/>
            <w:tcBorders>
              <w:left w:val="nil"/>
              <w:bottom w:val="single" w:sz="4" w:space="0" w:color="auto"/>
              <w:right w:val="nil"/>
            </w:tcBorders>
            <w:vAlign w:val="bottom"/>
          </w:tcPr>
          <w:p>
            <w:pPr>
              <w:pStyle w:val="NoSpacing"/>
              <w:ind w:right="-241"/>
              <w:jc w:val="right"/>
              <w:rPr>
                <w:rFonts w:ascii="Arial Narrow" w:hAnsi="Arial Narrow" w:cs="Arial"/>
                <w:b/>
                <w:color w:val="000000" w:themeColor="text1"/>
                <w:sz w:val="20"/>
                <w:szCs w:val="20"/>
              </w:rPr>
            </w:pPr>
          </w:p>
          <w:p>
            <w:pPr>
              <w:pStyle w:val="NoSpacing"/>
              <w:ind w:right="-5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Balance per Books</w:t>
            </w:r>
          </w:p>
        </w:tc>
        <w:tc>
          <w:tcPr>
            <w:tcW w:w="1843" w:type="dxa"/>
            <w:gridSpan w:val="2"/>
            <w:tcBorders>
              <w:left w:val="nil"/>
              <w:bottom w:val="single" w:sz="4" w:space="0" w:color="auto"/>
              <w:right w:val="nil"/>
            </w:tcBorders>
            <w:vAlign w:val="bottom"/>
          </w:tcPr>
          <w:p>
            <w:pPr>
              <w:pStyle w:val="NoSpacing"/>
              <w:ind w:right="-5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Net</w:t>
            </w:r>
          </w:p>
          <w:p>
            <w:pPr>
              <w:pStyle w:val="NoSpacing"/>
              <w:ind w:right="-5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Discrepancy</w:t>
            </w:r>
          </w:p>
        </w:tc>
      </w:tr>
      <w:tr>
        <w:trPr>
          <w:trHeight w:val="129"/>
          <w:jc w:val="right"/>
        </w:trPr>
        <w:tc>
          <w:tcPr>
            <w:tcW w:w="3397" w:type="dxa"/>
            <w:tcBorders>
              <w:left w:val="nil"/>
              <w:bottom w:val="nil"/>
              <w:right w:val="nil"/>
            </w:tcBorders>
            <w:shd w:val="clear" w:color="auto" w:fill="auto"/>
            <w:vAlign w:val="bottom"/>
          </w:tcPr>
          <w:p>
            <w:pPr>
              <w:pStyle w:val="NoSpacing"/>
              <w:ind w:left="-20" w:right="-241" w:hanging="92"/>
              <w:rPr>
                <w:rFonts w:ascii="Arial Narrow" w:hAnsi="Arial Narrow" w:cs="Arial"/>
                <w:b/>
                <w:i/>
                <w:color w:val="000000" w:themeColor="text1"/>
                <w:sz w:val="20"/>
                <w:szCs w:val="20"/>
                <w:u w:val="single"/>
              </w:rPr>
            </w:pPr>
            <w:r>
              <w:rPr>
                <w:rFonts w:ascii="Arial Narrow" w:hAnsi="Arial Narrow" w:cs="Arial"/>
                <w:b/>
                <w:i/>
                <w:color w:val="000000" w:themeColor="text1"/>
                <w:sz w:val="20"/>
                <w:szCs w:val="20"/>
                <w:u w:val="single"/>
              </w:rPr>
              <w:t>Prize Fund:</w:t>
            </w:r>
          </w:p>
        </w:tc>
        <w:tc>
          <w:tcPr>
            <w:tcW w:w="238" w:type="dxa"/>
            <w:tcBorders>
              <w:left w:val="nil"/>
              <w:bottom w:val="nil"/>
              <w:right w:val="nil"/>
            </w:tcBorders>
            <w:vAlign w:val="bottom"/>
          </w:tcPr>
          <w:p>
            <w:pPr>
              <w:pStyle w:val="NoSpacing"/>
              <w:ind w:right="-241"/>
              <w:rPr>
                <w:rFonts w:ascii="Arial Narrow" w:hAnsi="Arial Narrow" w:cs="Arial"/>
                <w:color w:val="000000" w:themeColor="text1"/>
                <w:sz w:val="20"/>
                <w:szCs w:val="20"/>
              </w:rPr>
            </w:pPr>
          </w:p>
        </w:tc>
        <w:tc>
          <w:tcPr>
            <w:tcW w:w="1595" w:type="dxa"/>
            <w:tcBorders>
              <w:left w:val="nil"/>
              <w:bottom w:val="nil"/>
              <w:right w:val="nil"/>
            </w:tcBorders>
            <w:vAlign w:val="bottom"/>
          </w:tcPr>
          <w:p>
            <w:pPr>
              <w:pStyle w:val="NoSpacing"/>
              <w:ind w:right="-241"/>
              <w:jc w:val="right"/>
              <w:rPr>
                <w:rFonts w:ascii="Arial Narrow" w:hAnsi="Arial Narrow" w:cs="Arial"/>
                <w:color w:val="000000" w:themeColor="text1"/>
                <w:sz w:val="20"/>
                <w:szCs w:val="20"/>
              </w:rPr>
            </w:pPr>
          </w:p>
        </w:tc>
        <w:tc>
          <w:tcPr>
            <w:tcW w:w="270" w:type="dxa"/>
            <w:tcBorders>
              <w:left w:val="nil"/>
              <w:bottom w:val="nil"/>
              <w:right w:val="nil"/>
            </w:tcBorders>
            <w:vAlign w:val="bottom"/>
          </w:tcPr>
          <w:p>
            <w:pPr>
              <w:pStyle w:val="NoSpacing"/>
              <w:ind w:right="-241"/>
              <w:jc w:val="right"/>
              <w:rPr>
                <w:rFonts w:ascii="Arial Narrow" w:hAnsi="Arial Narrow" w:cs="Arial"/>
                <w:color w:val="000000" w:themeColor="text1"/>
                <w:sz w:val="20"/>
                <w:szCs w:val="20"/>
              </w:rPr>
            </w:pPr>
          </w:p>
        </w:tc>
        <w:tc>
          <w:tcPr>
            <w:tcW w:w="1871" w:type="dxa"/>
            <w:tcBorders>
              <w:left w:val="nil"/>
              <w:bottom w:val="nil"/>
              <w:right w:val="nil"/>
            </w:tcBorders>
            <w:shd w:val="clear" w:color="auto" w:fill="auto"/>
            <w:vAlign w:val="bottom"/>
          </w:tcPr>
          <w:p>
            <w:pPr>
              <w:pStyle w:val="NoSpacing"/>
              <w:ind w:right="-241"/>
              <w:jc w:val="right"/>
              <w:rPr>
                <w:rFonts w:ascii="Arial Narrow" w:hAnsi="Arial Narrow" w:cs="Arial"/>
                <w:color w:val="000000" w:themeColor="text1"/>
                <w:sz w:val="20"/>
                <w:szCs w:val="20"/>
              </w:rPr>
            </w:pPr>
          </w:p>
        </w:tc>
        <w:tc>
          <w:tcPr>
            <w:tcW w:w="238" w:type="dxa"/>
            <w:tcBorders>
              <w:left w:val="nil"/>
              <w:bottom w:val="nil"/>
              <w:right w:val="nil"/>
            </w:tcBorders>
            <w:vAlign w:val="bottom"/>
          </w:tcPr>
          <w:p>
            <w:pPr>
              <w:pStyle w:val="NoSpacing"/>
              <w:jc w:val="right"/>
              <w:rPr>
                <w:rFonts w:ascii="Arial Narrow" w:hAnsi="Arial Narrow" w:cs="Arial"/>
                <w:color w:val="000000" w:themeColor="text1"/>
                <w:sz w:val="20"/>
                <w:szCs w:val="20"/>
              </w:rPr>
            </w:pPr>
          </w:p>
        </w:tc>
        <w:tc>
          <w:tcPr>
            <w:tcW w:w="1605" w:type="dxa"/>
            <w:tcBorders>
              <w:left w:val="nil"/>
              <w:bottom w:val="nil"/>
              <w:right w:val="nil"/>
            </w:tcBorders>
            <w:shd w:val="clear" w:color="auto" w:fill="auto"/>
            <w:vAlign w:val="bottom"/>
          </w:tcPr>
          <w:p>
            <w:pPr>
              <w:pStyle w:val="NoSpacing"/>
              <w:jc w:val="right"/>
              <w:rPr>
                <w:rFonts w:ascii="Arial Narrow" w:hAnsi="Arial Narrow" w:cs="Arial"/>
                <w:color w:val="000000" w:themeColor="text1"/>
                <w:sz w:val="20"/>
                <w:szCs w:val="20"/>
              </w:rPr>
            </w:pPr>
          </w:p>
        </w:tc>
      </w:tr>
      <w:tr>
        <w:trPr>
          <w:trHeight w:val="95"/>
          <w:jc w:val="right"/>
        </w:trPr>
        <w:tc>
          <w:tcPr>
            <w:tcW w:w="3397" w:type="dxa"/>
            <w:tcBorders>
              <w:top w:val="nil"/>
              <w:left w:val="nil"/>
              <w:bottom w:val="nil"/>
              <w:right w:val="nil"/>
            </w:tcBorders>
            <w:shd w:val="clear" w:color="auto" w:fill="auto"/>
            <w:vAlign w:val="bottom"/>
          </w:tcPr>
          <w:p>
            <w:pPr>
              <w:pStyle w:val="NoSpacing"/>
              <w:ind w:left="-20" w:right="-241" w:hanging="92"/>
              <w:jc w:val="both"/>
              <w:rPr>
                <w:rFonts w:ascii="Arial Narrow" w:hAnsi="Arial Narrow" w:cs="Arial"/>
                <w:color w:val="000000" w:themeColor="text1"/>
                <w:sz w:val="20"/>
                <w:szCs w:val="20"/>
              </w:rPr>
            </w:pPr>
            <w:r>
              <w:rPr>
                <w:rFonts w:ascii="Arial Narrow" w:hAnsi="Arial Narrow" w:cs="Arial"/>
                <w:color w:val="000000" w:themeColor="text1"/>
                <w:sz w:val="20"/>
                <w:szCs w:val="20"/>
              </w:rPr>
              <w:t>LBP Acct No. 3102-(Prize Fund)</w:t>
            </w:r>
          </w:p>
        </w:tc>
        <w:tc>
          <w:tcPr>
            <w:tcW w:w="238" w:type="dxa"/>
            <w:tcBorders>
              <w:top w:val="nil"/>
              <w:left w:val="nil"/>
              <w:bottom w:val="nil"/>
              <w:right w:val="nil"/>
            </w:tcBorders>
            <w:vAlign w:val="bottom"/>
          </w:tcPr>
          <w:p>
            <w:pPr>
              <w:pStyle w:val="NoSpacing"/>
              <w:ind w:right="-241"/>
              <w:rPr>
                <w:rFonts w:ascii="Arial Narrow" w:hAnsi="Arial Narrow" w:cs="Arial"/>
                <w:color w:val="000000" w:themeColor="text1"/>
                <w:sz w:val="20"/>
                <w:szCs w:val="20"/>
              </w:rPr>
            </w:pPr>
          </w:p>
        </w:tc>
        <w:tc>
          <w:tcPr>
            <w:tcW w:w="1595" w:type="dxa"/>
            <w:tcBorders>
              <w:top w:val="nil"/>
              <w:left w:val="nil"/>
              <w:bottom w:val="nil"/>
              <w:right w:val="nil"/>
            </w:tcBorders>
            <w:vAlign w:val="bottom"/>
          </w:tcPr>
          <w:p>
            <w:pPr>
              <w:pStyle w:val="NoSpacing"/>
              <w:ind w:right="-20" w:hanging="196"/>
              <w:jc w:val="right"/>
              <w:rPr>
                <w:rFonts w:ascii="Arial Narrow" w:hAnsi="Arial Narrow" w:cs="Arial"/>
                <w:color w:val="000000" w:themeColor="text1"/>
                <w:sz w:val="20"/>
                <w:szCs w:val="20"/>
              </w:rPr>
            </w:pPr>
            <w:r>
              <w:rPr>
                <w:rFonts w:ascii="Arial Narrow" w:hAnsi="Arial Narrow" w:cs="Arial"/>
                <w:color w:val="000000" w:themeColor="text1"/>
                <w:sz w:val="20"/>
                <w:szCs w:val="20"/>
              </w:rPr>
              <w:t>P 3,458,117,586.63</w:t>
            </w:r>
          </w:p>
        </w:tc>
        <w:tc>
          <w:tcPr>
            <w:tcW w:w="270" w:type="dxa"/>
            <w:tcBorders>
              <w:top w:val="nil"/>
              <w:left w:val="nil"/>
              <w:bottom w:val="nil"/>
              <w:right w:val="nil"/>
            </w:tcBorders>
            <w:vAlign w:val="bottom"/>
          </w:tcPr>
          <w:p>
            <w:pPr>
              <w:pStyle w:val="NoSpacing"/>
              <w:tabs>
                <w:tab w:val="center" w:pos="70"/>
                <w:tab w:val="right" w:pos="1870"/>
              </w:tabs>
              <w:ind w:left="-110" w:right="-20"/>
              <w:jc w:val="center"/>
              <w:rPr>
                <w:rFonts w:ascii="Arial Narrow" w:hAnsi="Arial Narrow" w:cs="Arial"/>
                <w:color w:val="000000" w:themeColor="text1"/>
                <w:sz w:val="20"/>
                <w:szCs w:val="20"/>
              </w:rPr>
            </w:pPr>
          </w:p>
        </w:tc>
        <w:tc>
          <w:tcPr>
            <w:tcW w:w="1871" w:type="dxa"/>
            <w:tcBorders>
              <w:top w:val="nil"/>
              <w:left w:val="nil"/>
              <w:bottom w:val="nil"/>
              <w:right w:val="nil"/>
            </w:tcBorders>
            <w:shd w:val="clear" w:color="auto" w:fill="auto"/>
            <w:vAlign w:val="bottom"/>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P 3,456,425,012.31</w:t>
            </w:r>
          </w:p>
        </w:tc>
        <w:tc>
          <w:tcPr>
            <w:tcW w:w="238" w:type="dxa"/>
            <w:tcBorders>
              <w:top w:val="nil"/>
              <w:left w:val="nil"/>
              <w:bottom w:val="nil"/>
              <w:right w:val="nil"/>
            </w:tcBorders>
            <w:vAlign w:val="bottom"/>
          </w:tcPr>
          <w:p>
            <w:pPr>
              <w:pStyle w:val="NoSpacing"/>
              <w:jc w:val="right"/>
              <w:rPr>
                <w:rFonts w:ascii="Arial Narrow" w:hAnsi="Arial Narrow" w:cs="Arial"/>
                <w:color w:val="000000" w:themeColor="text1"/>
                <w:sz w:val="20"/>
                <w:szCs w:val="20"/>
              </w:rPr>
            </w:pPr>
          </w:p>
        </w:tc>
        <w:tc>
          <w:tcPr>
            <w:tcW w:w="1605" w:type="dxa"/>
            <w:tcBorders>
              <w:top w:val="nil"/>
              <w:left w:val="nil"/>
              <w:bottom w:val="nil"/>
              <w:right w:val="nil"/>
            </w:tcBorders>
            <w:shd w:val="clear" w:color="auto" w:fill="auto"/>
            <w:vAlign w:val="bottom"/>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P 1,692,574.32</w:t>
            </w:r>
          </w:p>
        </w:tc>
      </w:tr>
      <w:tr>
        <w:trPr>
          <w:trHeight w:val="128"/>
          <w:jc w:val="right"/>
        </w:trPr>
        <w:tc>
          <w:tcPr>
            <w:tcW w:w="3397" w:type="dxa"/>
            <w:tcBorders>
              <w:top w:val="nil"/>
              <w:left w:val="nil"/>
              <w:bottom w:val="nil"/>
              <w:right w:val="nil"/>
            </w:tcBorders>
            <w:shd w:val="clear" w:color="auto" w:fill="auto"/>
            <w:vAlign w:val="bottom"/>
          </w:tcPr>
          <w:p>
            <w:pPr>
              <w:pStyle w:val="NoSpacing"/>
              <w:ind w:left="-20" w:right="-241" w:hanging="92"/>
              <w:jc w:val="both"/>
              <w:rPr>
                <w:rFonts w:ascii="Arial Narrow" w:hAnsi="Arial Narrow" w:cs="Arial"/>
                <w:color w:val="000000" w:themeColor="text1"/>
                <w:sz w:val="20"/>
                <w:szCs w:val="20"/>
              </w:rPr>
            </w:pPr>
            <w:r>
              <w:rPr>
                <w:rFonts w:ascii="Arial Narrow" w:hAnsi="Arial Narrow" w:cs="Arial"/>
                <w:color w:val="000000" w:themeColor="text1"/>
                <w:sz w:val="20"/>
                <w:szCs w:val="20"/>
              </w:rPr>
              <w:t>LBP Acct No. 3102-(STL)</w:t>
            </w:r>
          </w:p>
        </w:tc>
        <w:tc>
          <w:tcPr>
            <w:tcW w:w="238" w:type="dxa"/>
            <w:tcBorders>
              <w:top w:val="nil"/>
              <w:left w:val="nil"/>
              <w:bottom w:val="nil"/>
              <w:right w:val="nil"/>
            </w:tcBorders>
            <w:vAlign w:val="bottom"/>
          </w:tcPr>
          <w:p>
            <w:pPr>
              <w:pStyle w:val="NoSpacing"/>
              <w:ind w:right="-241"/>
              <w:rPr>
                <w:rFonts w:ascii="Arial Narrow" w:hAnsi="Arial Narrow" w:cs="Arial"/>
                <w:color w:val="000000" w:themeColor="text1"/>
                <w:sz w:val="20"/>
                <w:szCs w:val="20"/>
              </w:rPr>
            </w:pPr>
          </w:p>
        </w:tc>
        <w:tc>
          <w:tcPr>
            <w:tcW w:w="1595" w:type="dxa"/>
            <w:tcBorders>
              <w:top w:val="nil"/>
              <w:left w:val="nil"/>
              <w:bottom w:val="nil"/>
              <w:right w:val="nil"/>
            </w:tcBorders>
            <w:vAlign w:val="bottom"/>
          </w:tcPr>
          <w:p>
            <w:pPr>
              <w:pStyle w:val="NoSpacing"/>
              <w:ind w:right="-20"/>
              <w:jc w:val="right"/>
              <w:rPr>
                <w:rFonts w:ascii="Arial Narrow" w:hAnsi="Arial Narrow" w:cs="Arial"/>
                <w:color w:val="000000" w:themeColor="text1"/>
                <w:sz w:val="20"/>
                <w:szCs w:val="20"/>
              </w:rPr>
            </w:pPr>
            <w:r>
              <w:rPr>
                <w:rFonts w:ascii="Arial Narrow" w:hAnsi="Arial Narrow" w:cs="Arial"/>
                <w:color w:val="000000" w:themeColor="text1"/>
                <w:sz w:val="20"/>
                <w:szCs w:val="20"/>
              </w:rPr>
              <w:t>39,324,196.71</w:t>
            </w:r>
          </w:p>
        </w:tc>
        <w:tc>
          <w:tcPr>
            <w:tcW w:w="270" w:type="dxa"/>
            <w:tcBorders>
              <w:top w:val="nil"/>
              <w:left w:val="nil"/>
              <w:bottom w:val="nil"/>
              <w:right w:val="nil"/>
            </w:tcBorders>
            <w:vAlign w:val="bottom"/>
          </w:tcPr>
          <w:p>
            <w:pPr>
              <w:pStyle w:val="NoSpacing"/>
              <w:ind w:right="-241"/>
              <w:jc w:val="right"/>
              <w:rPr>
                <w:rFonts w:ascii="Arial Narrow" w:hAnsi="Arial Narrow" w:cs="Arial"/>
                <w:color w:val="000000" w:themeColor="text1"/>
                <w:sz w:val="20"/>
                <w:szCs w:val="20"/>
              </w:rPr>
            </w:pPr>
          </w:p>
        </w:tc>
        <w:tc>
          <w:tcPr>
            <w:tcW w:w="1871" w:type="dxa"/>
            <w:tcBorders>
              <w:top w:val="nil"/>
              <w:left w:val="nil"/>
              <w:bottom w:val="nil"/>
              <w:right w:val="nil"/>
            </w:tcBorders>
            <w:shd w:val="clear" w:color="auto" w:fill="auto"/>
            <w:vAlign w:val="bottom"/>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38,113,024.58</w:t>
            </w:r>
          </w:p>
        </w:tc>
        <w:tc>
          <w:tcPr>
            <w:tcW w:w="238" w:type="dxa"/>
            <w:tcBorders>
              <w:top w:val="nil"/>
              <w:left w:val="nil"/>
              <w:bottom w:val="nil"/>
              <w:right w:val="nil"/>
            </w:tcBorders>
            <w:vAlign w:val="bottom"/>
          </w:tcPr>
          <w:p>
            <w:pPr>
              <w:pStyle w:val="NoSpacing"/>
              <w:jc w:val="right"/>
              <w:rPr>
                <w:rFonts w:ascii="Arial Narrow" w:hAnsi="Arial Narrow" w:cs="Arial"/>
                <w:color w:val="000000" w:themeColor="text1"/>
                <w:sz w:val="20"/>
                <w:szCs w:val="20"/>
              </w:rPr>
            </w:pPr>
          </w:p>
        </w:tc>
        <w:tc>
          <w:tcPr>
            <w:tcW w:w="1605" w:type="dxa"/>
            <w:tcBorders>
              <w:top w:val="nil"/>
              <w:left w:val="nil"/>
              <w:bottom w:val="nil"/>
              <w:right w:val="nil"/>
            </w:tcBorders>
            <w:shd w:val="clear" w:color="auto" w:fill="auto"/>
            <w:vAlign w:val="bottom"/>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1,211,172.13</w:t>
            </w:r>
          </w:p>
        </w:tc>
      </w:tr>
      <w:tr>
        <w:trPr>
          <w:trHeight w:val="173"/>
          <w:jc w:val="right"/>
        </w:trPr>
        <w:tc>
          <w:tcPr>
            <w:tcW w:w="3397" w:type="dxa"/>
            <w:tcBorders>
              <w:top w:val="nil"/>
              <w:left w:val="nil"/>
              <w:bottom w:val="nil"/>
              <w:right w:val="nil"/>
            </w:tcBorders>
            <w:shd w:val="clear" w:color="auto" w:fill="auto"/>
          </w:tcPr>
          <w:p>
            <w:pPr>
              <w:pStyle w:val="NoSpacing"/>
              <w:ind w:left="-20" w:right="-241" w:hanging="92"/>
              <w:jc w:val="both"/>
              <w:rPr>
                <w:rFonts w:ascii="Arial Narrow" w:hAnsi="Arial Narrow" w:cs="Arial"/>
                <w:color w:val="000000" w:themeColor="text1"/>
                <w:sz w:val="20"/>
                <w:szCs w:val="20"/>
              </w:rPr>
            </w:pPr>
            <w:r>
              <w:rPr>
                <w:rFonts w:ascii="Arial Narrow" w:hAnsi="Arial Narrow" w:cs="Arial"/>
                <w:color w:val="000000" w:themeColor="text1"/>
                <w:sz w:val="20"/>
                <w:szCs w:val="20"/>
              </w:rPr>
              <w:t>LBP Acct No. 3102-(Prize Fund- Peryahan)</w:t>
            </w:r>
          </w:p>
        </w:tc>
        <w:tc>
          <w:tcPr>
            <w:tcW w:w="238" w:type="dxa"/>
            <w:tcBorders>
              <w:top w:val="nil"/>
              <w:left w:val="nil"/>
              <w:bottom w:val="nil"/>
              <w:right w:val="nil"/>
            </w:tcBorders>
          </w:tcPr>
          <w:p>
            <w:pPr>
              <w:pStyle w:val="NoSpacing"/>
              <w:ind w:right="-241"/>
              <w:rPr>
                <w:rFonts w:ascii="Arial Narrow" w:hAnsi="Arial Narrow" w:cs="Arial"/>
                <w:color w:val="000000" w:themeColor="text1"/>
                <w:sz w:val="20"/>
                <w:szCs w:val="20"/>
              </w:rPr>
            </w:pPr>
          </w:p>
        </w:tc>
        <w:tc>
          <w:tcPr>
            <w:tcW w:w="1595" w:type="dxa"/>
            <w:tcBorders>
              <w:top w:val="nil"/>
              <w:left w:val="nil"/>
              <w:bottom w:val="nil"/>
              <w:right w:val="nil"/>
            </w:tcBorders>
          </w:tcPr>
          <w:p>
            <w:pPr>
              <w:pStyle w:val="NoSpacing"/>
              <w:ind w:right="-20"/>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         4,202,317.70</w:t>
            </w:r>
          </w:p>
        </w:tc>
        <w:tc>
          <w:tcPr>
            <w:tcW w:w="270" w:type="dxa"/>
            <w:tcBorders>
              <w:top w:val="nil"/>
              <w:left w:val="nil"/>
              <w:bottom w:val="nil"/>
              <w:right w:val="nil"/>
            </w:tcBorders>
          </w:tcPr>
          <w:p>
            <w:pPr>
              <w:pStyle w:val="NoSpacing"/>
              <w:ind w:right="-241"/>
              <w:jc w:val="right"/>
              <w:rPr>
                <w:rFonts w:ascii="Arial Narrow" w:hAnsi="Arial Narrow" w:cs="Arial"/>
                <w:color w:val="000000" w:themeColor="text1"/>
                <w:sz w:val="20"/>
                <w:szCs w:val="20"/>
              </w:rPr>
            </w:pPr>
          </w:p>
        </w:tc>
        <w:tc>
          <w:tcPr>
            <w:tcW w:w="1871" w:type="dxa"/>
            <w:tcBorders>
              <w:top w:val="nil"/>
              <w:left w:val="nil"/>
              <w:bottom w:val="nil"/>
              <w:right w:val="nil"/>
            </w:tcBorders>
            <w:shd w:val="clear" w:color="auto" w:fill="auto"/>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4,202,317.70</w:t>
            </w:r>
          </w:p>
        </w:tc>
        <w:tc>
          <w:tcPr>
            <w:tcW w:w="238" w:type="dxa"/>
            <w:tcBorders>
              <w:top w:val="nil"/>
              <w:left w:val="nil"/>
              <w:bottom w:val="nil"/>
              <w:right w:val="nil"/>
            </w:tcBorders>
          </w:tcPr>
          <w:p>
            <w:pPr>
              <w:pStyle w:val="NoSpacing"/>
              <w:jc w:val="right"/>
              <w:rPr>
                <w:rFonts w:ascii="Arial Narrow" w:hAnsi="Arial Narrow" w:cs="Arial"/>
                <w:color w:val="000000" w:themeColor="text1"/>
                <w:sz w:val="20"/>
                <w:szCs w:val="20"/>
              </w:rPr>
            </w:pPr>
          </w:p>
        </w:tc>
        <w:tc>
          <w:tcPr>
            <w:tcW w:w="1605" w:type="dxa"/>
            <w:tcBorders>
              <w:top w:val="nil"/>
              <w:left w:val="nil"/>
              <w:bottom w:val="nil"/>
              <w:right w:val="nil"/>
            </w:tcBorders>
            <w:shd w:val="clear" w:color="auto" w:fill="auto"/>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                  -</w:t>
            </w:r>
          </w:p>
        </w:tc>
      </w:tr>
      <w:tr>
        <w:trPr>
          <w:trHeight w:val="269"/>
          <w:jc w:val="right"/>
        </w:trPr>
        <w:tc>
          <w:tcPr>
            <w:tcW w:w="3397" w:type="dxa"/>
            <w:tcBorders>
              <w:top w:val="nil"/>
              <w:left w:val="nil"/>
              <w:bottom w:val="nil"/>
              <w:right w:val="nil"/>
            </w:tcBorders>
            <w:shd w:val="clear" w:color="auto" w:fill="auto"/>
            <w:vAlign w:val="bottom"/>
          </w:tcPr>
          <w:p>
            <w:pPr>
              <w:pStyle w:val="NoSpacing"/>
              <w:ind w:left="-20" w:right="-241" w:hanging="92"/>
              <w:rPr>
                <w:rFonts w:ascii="Arial Narrow" w:hAnsi="Arial Narrow" w:cs="Arial"/>
                <w:b/>
                <w:i/>
                <w:color w:val="000000" w:themeColor="text1"/>
                <w:sz w:val="20"/>
                <w:szCs w:val="20"/>
                <w:u w:val="single"/>
              </w:rPr>
            </w:pPr>
            <w:r>
              <w:rPr>
                <w:rFonts w:ascii="Arial Narrow" w:hAnsi="Arial Narrow" w:cs="Arial"/>
                <w:b/>
                <w:i/>
                <w:color w:val="000000" w:themeColor="text1"/>
                <w:sz w:val="20"/>
                <w:szCs w:val="20"/>
                <w:u w:val="single"/>
              </w:rPr>
              <w:t>Charity:</w:t>
            </w:r>
          </w:p>
        </w:tc>
        <w:tc>
          <w:tcPr>
            <w:tcW w:w="238" w:type="dxa"/>
            <w:tcBorders>
              <w:top w:val="nil"/>
              <w:left w:val="nil"/>
              <w:bottom w:val="nil"/>
              <w:right w:val="nil"/>
            </w:tcBorders>
            <w:vAlign w:val="bottom"/>
          </w:tcPr>
          <w:p>
            <w:pPr>
              <w:pStyle w:val="NoSpacing"/>
              <w:ind w:right="-241"/>
              <w:rPr>
                <w:rFonts w:ascii="Arial Narrow" w:hAnsi="Arial Narrow" w:cs="Arial"/>
                <w:color w:val="000000" w:themeColor="text1"/>
                <w:sz w:val="20"/>
                <w:szCs w:val="20"/>
              </w:rPr>
            </w:pPr>
          </w:p>
        </w:tc>
        <w:tc>
          <w:tcPr>
            <w:tcW w:w="1595" w:type="dxa"/>
            <w:tcBorders>
              <w:top w:val="nil"/>
              <w:left w:val="nil"/>
              <w:bottom w:val="nil"/>
              <w:right w:val="nil"/>
            </w:tcBorders>
            <w:vAlign w:val="bottom"/>
          </w:tcPr>
          <w:p>
            <w:pPr>
              <w:pStyle w:val="NoSpacing"/>
              <w:ind w:right="-20"/>
              <w:jc w:val="right"/>
              <w:rPr>
                <w:rFonts w:ascii="Arial Narrow" w:hAnsi="Arial Narrow" w:cs="Arial"/>
                <w:color w:val="000000" w:themeColor="text1"/>
                <w:sz w:val="20"/>
                <w:szCs w:val="20"/>
              </w:rPr>
            </w:pPr>
          </w:p>
        </w:tc>
        <w:tc>
          <w:tcPr>
            <w:tcW w:w="270" w:type="dxa"/>
            <w:tcBorders>
              <w:top w:val="nil"/>
              <w:left w:val="nil"/>
              <w:bottom w:val="nil"/>
              <w:right w:val="nil"/>
            </w:tcBorders>
            <w:vAlign w:val="bottom"/>
          </w:tcPr>
          <w:p>
            <w:pPr>
              <w:pStyle w:val="NoSpacing"/>
              <w:ind w:right="-241"/>
              <w:jc w:val="right"/>
              <w:rPr>
                <w:rFonts w:ascii="Arial Narrow" w:hAnsi="Arial Narrow" w:cs="Arial"/>
                <w:color w:val="000000" w:themeColor="text1"/>
                <w:sz w:val="20"/>
                <w:szCs w:val="20"/>
              </w:rPr>
            </w:pPr>
          </w:p>
        </w:tc>
        <w:tc>
          <w:tcPr>
            <w:tcW w:w="1871" w:type="dxa"/>
            <w:tcBorders>
              <w:top w:val="nil"/>
              <w:left w:val="nil"/>
              <w:bottom w:val="nil"/>
              <w:right w:val="nil"/>
            </w:tcBorders>
            <w:shd w:val="clear" w:color="auto" w:fill="auto"/>
            <w:vAlign w:val="bottom"/>
          </w:tcPr>
          <w:p>
            <w:pPr>
              <w:pStyle w:val="NoSpacing"/>
              <w:ind w:right="-50"/>
              <w:jc w:val="right"/>
              <w:rPr>
                <w:rFonts w:ascii="Arial Narrow" w:hAnsi="Arial Narrow" w:cs="Arial"/>
                <w:color w:val="000000" w:themeColor="text1"/>
                <w:sz w:val="20"/>
                <w:szCs w:val="20"/>
              </w:rPr>
            </w:pPr>
          </w:p>
        </w:tc>
        <w:tc>
          <w:tcPr>
            <w:tcW w:w="238" w:type="dxa"/>
            <w:tcBorders>
              <w:top w:val="nil"/>
              <w:left w:val="nil"/>
              <w:bottom w:val="nil"/>
              <w:right w:val="nil"/>
            </w:tcBorders>
            <w:vAlign w:val="bottom"/>
          </w:tcPr>
          <w:p>
            <w:pPr>
              <w:pStyle w:val="NoSpacing"/>
              <w:jc w:val="right"/>
              <w:rPr>
                <w:rFonts w:ascii="Arial Narrow" w:hAnsi="Arial Narrow" w:cs="Arial"/>
                <w:color w:val="000000" w:themeColor="text1"/>
                <w:sz w:val="20"/>
                <w:szCs w:val="20"/>
              </w:rPr>
            </w:pPr>
          </w:p>
        </w:tc>
        <w:tc>
          <w:tcPr>
            <w:tcW w:w="1605" w:type="dxa"/>
            <w:tcBorders>
              <w:top w:val="nil"/>
              <w:left w:val="nil"/>
              <w:bottom w:val="nil"/>
              <w:right w:val="nil"/>
            </w:tcBorders>
            <w:shd w:val="clear" w:color="auto" w:fill="auto"/>
            <w:vAlign w:val="bottom"/>
          </w:tcPr>
          <w:p>
            <w:pPr>
              <w:pStyle w:val="NoSpacing"/>
              <w:ind w:right="-50"/>
              <w:jc w:val="right"/>
              <w:rPr>
                <w:rFonts w:ascii="Arial Narrow" w:hAnsi="Arial Narrow" w:cs="Arial"/>
                <w:color w:val="000000" w:themeColor="text1"/>
                <w:sz w:val="20"/>
                <w:szCs w:val="20"/>
              </w:rPr>
            </w:pPr>
          </w:p>
        </w:tc>
      </w:tr>
      <w:tr>
        <w:trPr>
          <w:trHeight w:val="223"/>
          <w:jc w:val="right"/>
        </w:trPr>
        <w:tc>
          <w:tcPr>
            <w:tcW w:w="3397" w:type="dxa"/>
            <w:tcBorders>
              <w:top w:val="nil"/>
              <w:left w:val="nil"/>
              <w:bottom w:val="nil"/>
              <w:right w:val="nil"/>
            </w:tcBorders>
            <w:shd w:val="clear" w:color="auto" w:fill="auto"/>
            <w:vAlign w:val="bottom"/>
          </w:tcPr>
          <w:p>
            <w:pPr>
              <w:pStyle w:val="NoSpacing"/>
              <w:ind w:left="-20" w:right="-241" w:hanging="92"/>
              <w:jc w:val="both"/>
              <w:rPr>
                <w:rFonts w:ascii="Arial Narrow" w:hAnsi="Arial Narrow" w:cs="Arial"/>
                <w:color w:val="000000" w:themeColor="text1"/>
                <w:sz w:val="20"/>
                <w:szCs w:val="20"/>
              </w:rPr>
            </w:pPr>
            <w:r>
              <w:rPr>
                <w:rFonts w:ascii="Arial Narrow" w:hAnsi="Arial Narrow" w:cs="Arial"/>
                <w:color w:val="000000" w:themeColor="text1"/>
                <w:sz w:val="20"/>
                <w:szCs w:val="20"/>
              </w:rPr>
              <w:t>LBP Acct No. 3102-(Charity Fund)</w:t>
            </w:r>
          </w:p>
        </w:tc>
        <w:tc>
          <w:tcPr>
            <w:tcW w:w="238" w:type="dxa"/>
            <w:tcBorders>
              <w:top w:val="nil"/>
              <w:left w:val="nil"/>
              <w:bottom w:val="nil"/>
              <w:right w:val="nil"/>
            </w:tcBorders>
            <w:vAlign w:val="bottom"/>
          </w:tcPr>
          <w:p>
            <w:pPr>
              <w:pStyle w:val="NoSpacing"/>
              <w:ind w:right="-241"/>
              <w:rPr>
                <w:rFonts w:ascii="Arial Narrow" w:hAnsi="Arial Narrow" w:cs="Arial"/>
                <w:color w:val="000000" w:themeColor="text1"/>
                <w:sz w:val="20"/>
                <w:szCs w:val="20"/>
              </w:rPr>
            </w:pPr>
          </w:p>
        </w:tc>
        <w:tc>
          <w:tcPr>
            <w:tcW w:w="1595" w:type="dxa"/>
            <w:tcBorders>
              <w:top w:val="nil"/>
              <w:left w:val="nil"/>
              <w:bottom w:val="nil"/>
              <w:right w:val="nil"/>
            </w:tcBorders>
            <w:vAlign w:val="bottom"/>
          </w:tcPr>
          <w:p>
            <w:pPr>
              <w:pStyle w:val="NoSpacing"/>
              <w:ind w:right="-20"/>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 6,817,836,938.16</w:t>
            </w:r>
          </w:p>
        </w:tc>
        <w:tc>
          <w:tcPr>
            <w:tcW w:w="270" w:type="dxa"/>
            <w:tcBorders>
              <w:top w:val="nil"/>
              <w:left w:val="nil"/>
              <w:bottom w:val="nil"/>
              <w:right w:val="nil"/>
            </w:tcBorders>
            <w:vAlign w:val="bottom"/>
          </w:tcPr>
          <w:p>
            <w:pPr>
              <w:pStyle w:val="NoSpacing"/>
              <w:ind w:right="-241"/>
              <w:jc w:val="right"/>
              <w:rPr>
                <w:rFonts w:ascii="Arial Narrow" w:hAnsi="Arial Narrow" w:cs="Arial"/>
                <w:color w:val="000000" w:themeColor="text1"/>
                <w:sz w:val="20"/>
                <w:szCs w:val="20"/>
              </w:rPr>
            </w:pPr>
          </w:p>
        </w:tc>
        <w:tc>
          <w:tcPr>
            <w:tcW w:w="1871" w:type="dxa"/>
            <w:tcBorders>
              <w:top w:val="nil"/>
              <w:left w:val="nil"/>
              <w:bottom w:val="nil"/>
              <w:right w:val="nil"/>
            </w:tcBorders>
            <w:shd w:val="clear" w:color="auto" w:fill="auto"/>
            <w:vAlign w:val="bottom"/>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6,773,120,712.95</w:t>
            </w:r>
          </w:p>
        </w:tc>
        <w:tc>
          <w:tcPr>
            <w:tcW w:w="238" w:type="dxa"/>
            <w:tcBorders>
              <w:top w:val="nil"/>
              <w:left w:val="nil"/>
              <w:bottom w:val="nil"/>
              <w:right w:val="nil"/>
            </w:tcBorders>
            <w:vAlign w:val="bottom"/>
          </w:tcPr>
          <w:p>
            <w:pPr>
              <w:pStyle w:val="NoSpacing"/>
              <w:jc w:val="right"/>
              <w:rPr>
                <w:rFonts w:ascii="Arial Narrow" w:hAnsi="Arial Narrow" w:cs="Arial"/>
                <w:color w:val="000000" w:themeColor="text1"/>
                <w:sz w:val="20"/>
                <w:szCs w:val="20"/>
              </w:rPr>
            </w:pPr>
          </w:p>
        </w:tc>
        <w:tc>
          <w:tcPr>
            <w:tcW w:w="1605" w:type="dxa"/>
            <w:tcBorders>
              <w:top w:val="nil"/>
              <w:left w:val="nil"/>
              <w:bottom w:val="nil"/>
              <w:right w:val="nil"/>
            </w:tcBorders>
            <w:shd w:val="clear" w:color="auto" w:fill="auto"/>
            <w:vAlign w:val="bottom"/>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44,716,225.21</w:t>
            </w:r>
          </w:p>
        </w:tc>
      </w:tr>
      <w:tr>
        <w:trPr>
          <w:trHeight w:val="127"/>
          <w:jc w:val="right"/>
        </w:trPr>
        <w:tc>
          <w:tcPr>
            <w:tcW w:w="3397" w:type="dxa"/>
            <w:tcBorders>
              <w:top w:val="nil"/>
              <w:left w:val="nil"/>
              <w:bottom w:val="nil"/>
              <w:right w:val="nil"/>
            </w:tcBorders>
            <w:shd w:val="clear" w:color="auto" w:fill="auto"/>
            <w:vAlign w:val="bottom"/>
          </w:tcPr>
          <w:p>
            <w:pPr>
              <w:pStyle w:val="NoSpacing"/>
              <w:ind w:left="-20" w:right="-241" w:hanging="92"/>
              <w:jc w:val="both"/>
              <w:rPr>
                <w:rFonts w:ascii="Arial Narrow" w:hAnsi="Arial Narrow" w:cs="Arial"/>
                <w:color w:val="000000" w:themeColor="text1"/>
                <w:sz w:val="20"/>
                <w:szCs w:val="20"/>
              </w:rPr>
            </w:pPr>
            <w:r>
              <w:rPr>
                <w:rFonts w:ascii="Arial Narrow" w:hAnsi="Arial Narrow" w:cs="Arial"/>
                <w:color w:val="000000" w:themeColor="text1"/>
                <w:sz w:val="20"/>
                <w:szCs w:val="20"/>
              </w:rPr>
              <w:t>LBP Acct No. 3102-(STL)</w:t>
            </w:r>
          </w:p>
        </w:tc>
        <w:tc>
          <w:tcPr>
            <w:tcW w:w="238" w:type="dxa"/>
            <w:tcBorders>
              <w:top w:val="nil"/>
              <w:left w:val="nil"/>
              <w:bottom w:val="nil"/>
              <w:right w:val="nil"/>
            </w:tcBorders>
            <w:vAlign w:val="bottom"/>
          </w:tcPr>
          <w:p>
            <w:pPr>
              <w:pStyle w:val="NoSpacing"/>
              <w:ind w:right="-241"/>
              <w:rPr>
                <w:rFonts w:ascii="Arial Narrow" w:hAnsi="Arial Narrow" w:cs="Arial"/>
                <w:color w:val="000000" w:themeColor="text1"/>
                <w:sz w:val="20"/>
                <w:szCs w:val="20"/>
              </w:rPr>
            </w:pPr>
          </w:p>
        </w:tc>
        <w:tc>
          <w:tcPr>
            <w:tcW w:w="1595" w:type="dxa"/>
            <w:tcBorders>
              <w:top w:val="nil"/>
              <w:left w:val="nil"/>
              <w:bottom w:val="nil"/>
              <w:right w:val="nil"/>
            </w:tcBorders>
            <w:vAlign w:val="bottom"/>
          </w:tcPr>
          <w:p>
            <w:pPr>
              <w:pStyle w:val="NoSpacing"/>
              <w:ind w:right="-20"/>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   265,462,341.57</w:t>
            </w:r>
          </w:p>
        </w:tc>
        <w:tc>
          <w:tcPr>
            <w:tcW w:w="270" w:type="dxa"/>
            <w:tcBorders>
              <w:top w:val="nil"/>
              <w:left w:val="nil"/>
              <w:bottom w:val="nil"/>
              <w:right w:val="nil"/>
            </w:tcBorders>
            <w:vAlign w:val="bottom"/>
          </w:tcPr>
          <w:p>
            <w:pPr>
              <w:pStyle w:val="NoSpacing"/>
              <w:ind w:right="-241"/>
              <w:jc w:val="right"/>
              <w:rPr>
                <w:rFonts w:ascii="Arial Narrow" w:hAnsi="Arial Narrow" w:cs="Arial"/>
                <w:color w:val="000000" w:themeColor="text1"/>
                <w:sz w:val="20"/>
                <w:szCs w:val="20"/>
              </w:rPr>
            </w:pPr>
          </w:p>
        </w:tc>
        <w:tc>
          <w:tcPr>
            <w:tcW w:w="1871" w:type="dxa"/>
            <w:tcBorders>
              <w:top w:val="nil"/>
              <w:left w:val="nil"/>
              <w:bottom w:val="nil"/>
              <w:right w:val="nil"/>
            </w:tcBorders>
            <w:shd w:val="clear" w:color="auto" w:fill="auto"/>
            <w:vAlign w:val="bottom"/>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       266,152,669.35</w:t>
            </w:r>
          </w:p>
        </w:tc>
        <w:tc>
          <w:tcPr>
            <w:tcW w:w="238" w:type="dxa"/>
            <w:tcBorders>
              <w:top w:val="nil"/>
              <w:left w:val="nil"/>
              <w:bottom w:val="nil"/>
              <w:right w:val="nil"/>
            </w:tcBorders>
            <w:vAlign w:val="bottom"/>
          </w:tcPr>
          <w:p>
            <w:pPr>
              <w:pStyle w:val="NoSpacing"/>
              <w:jc w:val="right"/>
              <w:rPr>
                <w:rFonts w:ascii="Arial Narrow" w:hAnsi="Arial Narrow" w:cs="Arial"/>
                <w:color w:val="000000" w:themeColor="text1"/>
                <w:sz w:val="20"/>
                <w:szCs w:val="20"/>
              </w:rPr>
            </w:pPr>
          </w:p>
        </w:tc>
        <w:tc>
          <w:tcPr>
            <w:tcW w:w="1605" w:type="dxa"/>
            <w:tcBorders>
              <w:top w:val="nil"/>
              <w:left w:val="nil"/>
              <w:bottom w:val="nil"/>
              <w:right w:val="nil"/>
            </w:tcBorders>
            <w:shd w:val="clear" w:color="auto" w:fill="auto"/>
            <w:vAlign w:val="bottom"/>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   (690,327.78)</w:t>
            </w:r>
          </w:p>
        </w:tc>
      </w:tr>
      <w:tr>
        <w:trPr>
          <w:jc w:val="right"/>
        </w:trPr>
        <w:tc>
          <w:tcPr>
            <w:tcW w:w="3397" w:type="dxa"/>
            <w:tcBorders>
              <w:top w:val="nil"/>
              <w:left w:val="nil"/>
              <w:bottom w:val="single" w:sz="4" w:space="0" w:color="auto"/>
              <w:right w:val="nil"/>
            </w:tcBorders>
            <w:shd w:val="clear" w:color="auto" w:fill="auto"/>
            <w:vAlign w:val="bottom"/>
          </w:tcPr>
          <w:p>
            <w:pPr>
              <w:pStyle w:val="NoSpacing"/>
              <w:ind w:left="-20" w:right="-241" w:hanging="92"/>
              <w:jc w:val="both"/>
              <w:rPr>
                <w:rFonts w:ascii="Arial Narrow" w:hAnsi="Arial Narrow" w:cs="Arial"/>
                <w:color w:val="000000" w:themeColor="text1"/>
                <w:sz w:val="20"/>
                <w:szCs w:val="20"/>
              </w:rPr>
            </w:pPr>
            <w:r>
              <w:rPr>
                <w:rFonts w:ascii="Arial Narrow" w:hAnsi="Arial Narrow" w:cs="Arial"/>
                <w:color w:val="000000" w:themeColor="text1"/>
                <w:sz w:val="20"/>
                <w:szCs w:val="20"/>
              </w:rPr>
              <w:t>LBP Acct No. 3102-(Charity Fund – Peryahan)</w:t>
            </w:r>
          </w:p>
        </w:tc>
        <w:tc>
          <w:tcPr>
            <w:tcW w:w="238" w:type="dxa"/>
            <w:tcBorders>
              <w:top w:val="nil"/>
              <w:left w:val="nil"/>
              <w:bottom w:val="single" w:sz="4" w:space="0" w:color="auto"/>
              <w:right w:val="nil"/>
            </w:tcBorders>
            <w:vAlign w:val="bottom"/>
          </w:tcPr>
          <w:p>
            <w:pPr>
              <w:pStyle w:val="NoSpacing"/>
              <w:ind w:right="-241"/>
              <w:jc w:val="right"/>
              <w:rPr>
                <w:rFonts w:ascii="Arial Narrow" w:hAnsi="Arial Narrow" w:cs="Arial"/>
                <w:color w:val="000000" w:themeColor="text1"/>
                <w:sz w:val="20"/>
                <w:szCs w:val="20"/>
              </w:rPr>
            </w:pPr>
          </w:p>
        </w:tc>
        <w:tc>
          <w:tcPr>
            <w:tcW w:w="1595" w:type="dxa"/>
            <w:tcBorders>
              <w:top w:val="nil"/>
              <w:left w:val="nil"/>
              <w:bottom w:val="single" w:sz="4" w:space="0" w:color="auto"/>
              <w:right w:val="nil"/>
            </w:tcBorders>
            <w:vAlign w:val="bottom"/>
          </w:tcPr>
          <w:p>
            <w:pPr>
              <w:pStyle w:val="NoSpacing"/>
              <w:ind w:right="-20"/>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       33,133,250.97</w:t>
            </w:r>
          </w:p>
        </w:tc>
        <w:tc>
          <w:tcPr>
            <w:tcW w:w="270" w:type="dxa"/>
            <w:tcBorders>
              <w:top w:val="nil"/>
              <w:left w:val="nil"/>
              <w:bottom w:val="single" w:sz="4" w:space="0" w:color="auto"/>
              <w:right w:val="nil"/>
            </w:tcBorders>
            <w:vAlign w:val="bottom"/>
          </w:tcPr>
          <w:p>
            <w:pPr>
              <w:pStyle w:val="NoSpacing"/>
              <w:ind w:right="-241"/>
              <w:jc w:val="right"/>
              <w:rPr>
                <w:rFonts w:ascii="Arial Narrow" w:hAnsi="Arial Narrow" w:cs="Arial"/>
                <w:color w:val="000000" w:themeColor="text1"/>
                <w:sz w:val="20"/>
                <w:szCs w:val="20"/>
              </w:rPr>
            </w:pPr>
          </w:p>
        </w:tc>
        <w:tc>
          <w:tcPr>
            <w:tcW w:w="1871" w:type="dxa"/>
            <w:tcBorders>
              <w:top w:val="nil"/>
              <w:left w:val="nil"/>
              <w:bottom w:val="single" w:sz="4" w:space="0" w:color="auto"/>
              <w:right w:val="nil"/>
            </w:tcBorders>
            <w:shd w:val="clear" w:color="auto" w:fill="auto"/>
            <w:vAlign w:val="bottom"/>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 xml:space="preserve">         33,133,250.97</w:t>
            </w:r>
          </w:p>
        </w:tc>
        <w:tc>
          <w:tcPr>
            <w:tcW w:w="238" w:type="dxa"/>
            <w:tcBorders>
              <w:top w:val="nil"/>
              <w:left w:val="nil"/>
              <w:bottom w:val="single" w:sz="4" w:space="0" w:color="auto"/>
              <w:right w:val="nil"/>
            </w:tcBorders>
            <w:vAlign w:val="bottom"/>
          </w:tcPr>
          <w:p>
            <w:pPr>
              <w:pStyle w:val="NoSpacing"/>
              <w:jc w:val="right"/>
              <w:rPr>
                <w:rFonts w:ascii="Arial Narrow" w:hAnsi="Arial Narrow" w:cs="Arial"/>
                <w:color w:val="000000" w:themeColor="text1"/>
                <w:sz w:val="20"/>
                <w:szCs w:val="20"/>
              </w:rPr>
            </w:pPr>
          </w:p>
        </w:tc>
        <w:tc>
          <w:tcPr>
            <w:tcW w:w="1605" w:type="dxa"/>
            <w:tcBorders>
              <w:top w:val="nil"/>
              <w:left w:val="nil"/>
              <w:bottom w:val="single" w:sz="4" w:space="0" w:color="auto"/>
              <w:right w:val="nil"/>
            </w:tcBorders>
            <w:shd w:val="clear" w:color="auto" w:fill="auto"/>
            <w:vAlign w:val="bottom"/>
          </w:tcPr>
          <w:p>
            <w:pPr>
              <w:pStyle w:val="NoSpacing"/>
              <w:ind w:right="-50"/>
              <w:jc w:val="right"/>
              <w:rPr>
                <w:rFonts w:ascii="Arial Narrow" w:hAnsi="Arial Narrow" w:cs="Arial"/>
                <w:color w:val="000000" w:themeColor="text1"/>
                <w:sz w:val="20"/>
                <w:szCs w:val="20"/>
              </w:rPr>
            </w:pPr>
            <w:r>
              <w:rPr>
                <w:rFonts w:ascii="Arial Narrow" w:hAnsi="Arial Narrow" w:cs="Arial"/>
                <w:color w:val="000000" w:themeColor="text1"/>
                <w:sz w:val="20"/>
                <w:szCs w:val="20"/>
              </w:rPr>
              <w:t>-</w:t>
            </w:r>
          </w:p>
        </w:tc>
      </w:tr>
      <w:tr>
        <w:trPr>
          <w:jc w:val="right"/>
        </w:trPr>
        <w:tc>
          <w:tcPr>
            <w:tcW w:w="3397" w:type="dxa"/>
            <w:tcBorders>
              <w:top w:val="single" w:sz="4" w:space="0" w:color="auto"/>
              <w:left w:val="nil"/>
              <w:bottom w:val="double" w:sz="4" w:space="0" w:color="auto"/>
              <w:right w:val="nil"/>
            </w:tcBorders>
            <w:shd w:val="clear" w:color="auto" w:fill="auto"/>
            <w:vAlign w:val="bottom"/>
          </w:tcPr>
          <w:p>
            <w:pPr>
              <w:pStyle w:val="NoSpacing"/>
              <w:ind w:left="-20" w:right="-241" w:hanging="92"/>
              <w:jc w:val="both"/>
              <w:rPr>
                <w:rFonts w:ascii="Arial Narrow" w:hAnsi="Arial Narrow" w:cs="Arial"/>
                <w:b/>
                <w:color w:val="000000" w:themeColor="text1"/>
                <w:sz w:val="20"/>
                <w:szCs w:val="20"/>
              </w:rPr>
            </w:pPr>
            <w:r>
              <w:rPr>
                <w:rFonts w:ascii="Arial Narrow" w:hAnsi="Arial Narrow" w:cs="Arial"/>
                <w:b/>
                <w:color w:val="000000" w:themeColor="text1"/>
                <w:sz w:val="20"/>
                <w:szCs w:val="20"/>
              </w:rPr>
              <w:t>Total</w:t>
            </w:r>
          </w:p>
        </w:tc>
        <w:tc>
          <w:tcPr>
            <w:tcW w:w="238" w:type="dxa"/>
            <w:tcBorders>
              <w:top w:val="single" w:sz="4" w:space="0" w:color="auto"/>
              <w:left w:val="nil"/>
              <w:bottom w:val="double" w:sz="4" w:space="0" w:color="auto"/>
              <w:right w:val="nil"/>
            </w:tcBorders>
            <w:vAlign w:val="bottom"/>
          </w:tcPr>
          <w:p>
            <w:pPr>
              <w:pStyle w:val="NoSpacing"/>
              <w:ind w:left="-170" w:right="-241"/>
              <w:jc w:val="center"/>
              <w:rPr>
                <w:rFonts w:ascii="Arial Narrow" w:hAnsi="Arial Narrow" w:cs="Arial"/>
                <w:b/>
                <w:color w:val="000000" w:themeColor="text1"/>
                <w:sz w:val="20"/>
                <w:szCs w:val="20"/>
              </w:rPr>
            </w:pPr>
          </w:p>
        </w:tc>
        <w:tc>
          <w:tcPr>
            <w:tcW w:w="1595" w:type="dxa"/>
            <w:tcBorders>
              <w:top w:val="single" w:sz="4" w:space="0" w:color="auto"/>
              <w:left w:val="nil"/>
              <w:bottom w:val="double" w:sz="4" w:space="0" w:color="auto"/>
              <w:right w:val="nil"/>
            </w:tcBorders>
            <w:vAlign w:val="bottom"/>
          </w:tcPr>
          <w:p>
            <w:pPr>
              <w:pStyle w:val="NoSpacing"/>
              <w:ind w:right="-20" w:hanging="196"/>
              <w:jc w:val="right"/>
              <w:rPr>
                <w:rFonts w:ascii="Arial Narrow" w:hAnsi="Arial Narrow" w:cs="Arial"/>
                <w:b/>
                <w:color w:val="000000" w:themeColor="text1"/>
                <w:sz w:val="20"/>
                <w:szCs w:val="20"/>
              </w:rPr>
            </w:pPr>
            <w:r>
              <w:rPr>
                <w:rFonts w:ascii="Arial Narrow" w:hAnsi="Arial Narrow" w:cs="Arial"/>
                <w:b/>
                <w:color w:val="000000" w:themeColor="text1"/>
                <w:sz w:val="20"/>
                <w:szCs w:val="20"/>
              </w:rPr>
              <w:t>P10,618,076,631.74</w:t>
            </w:r>
          </w:p>
        </w:tc>
        <w:tc>
          <w:tcPr>
            <w:tcW w:w="270" w:type="dxa"/>
            <w:tcBorders>
              <w:top w:val="single" w:sz="4" w:space="0" w:color="auto"/>
              <w:left w:val="nil"/>
              <w:bottom w:val="double" w:sz="4" w:space="0" w:color="auto"/>
              <w:right w:val="nil"/>
            </w:tcBorders>
            <w:vAlign w:val="bottom"/>
          </w:tcPr>
          <w:p>
            <w:pPr>
              <w:pStyle w:val="NoSpacing"/>
              <w:jc w:val="right"/>
              <w:rPr>
                <w:rFonts w:ascii="Arial Narrow" w:hAnsi="Arial Narrow" w:cs="Arial"/>
                <w:b/>
                <w:color w:val="000000" w:themeColor="text1"/>
                <w:sz w:val="20"/>
                <w:szCs w:val="20"/>
              </w:rPr>
            </w:pPr>
          </w:p>
        </w:tc>
        <w:tc>
          <w:tcPr>
            <w:tcW w:w="1871" w:type="dxa"/>
            <w:tcBorders>
              <w:top w:val="single" w:sz="4" w:space="0" w:color="auto"/>
              <w:left w:val="nil"/>
              <w:bottom w:val="double" w:sz="4" w:space="0" w:color="auto"/>
              <w:right w:val="nil"/>
            </w:tcBorders>
            <w:shd w:val="clear" w:color="auto" w:fill="auto"/>
            <w:vAlign w:val="bottom"/>
          </w:tcPr>
          <w:p>
            <w:pPr>
              <w:pStyle w:val="NoSpacing"/>
              <w:ind w:right="-5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P10,571,146,987.86</w:t>
            </w:r>
          </w:p>
        </w:tc>
        <w:tc>
          <w:tcPr>
            <w:tcW w:w="238" w:type="dxa"/>
            <w:tcBorders>
              <w:top w:val="single" w:sz="4" w:space="0" w:color="auto"/>
              <w:left w:val="nil"/>
              <w:bottom w:val="double" w:sz="4" w:space="0" w:color="auto"/>
              <w:right w:val="nil"/>
            </w:tcBorders>
            <w:vAlign w:val="bottom"/>
          </w:tcPr>
          <w:p>
            <w:pPr>
              <w:pStyle w:val="NoSpacing"/>
              <w:ind w:right="-18"/>
              <w:jc w:val="right"/>
              <w:rPr>
                <w:rFonts w:ascii="Arial Narrow" w:hAnsi="Arial Narrow" w:cs="Arial"/>
                <w:b/>
                <w:color w:val="000000" w:themeColor="text1"/>
                <w:sz w:val="20"/>
                <w:szCs w:val="20"/>
              </w:rPr>
            </w:pPr>
          </w:p>
        </w:tc>
        <w:tc>
          <w:tcPr>
            <w:tcW w:w="1605" w:type="dxa"/>
            <w:tcBorders>
              <w:top w:val="single" w:sz="4" w:space="0" w:color="auto"/>
              <w:left w:val="nil"/>
              <w:bottom w:val="double" w:sz="4" w:space="0" w:color="auto"/>
              <w:right w:val="nil"/>
            </w:tcBorders>
            <w:shd w:val="clear" w:color="auto" w:fill="auto"/>
            <w:vAlign w:val="bottom"/>
          </w:tcPr>
          <w:p>
            <w:pPr>
              <w:pStyle w:val="NoSpacing"/>
              <w:ind w:right="-5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P46,929,643.88</w:t>
            </w:r>
          </w:p>
        </w:tc>
      </w:tr>
    </w:tbl>
    <w:p>
      <w:pPr>
        <w:pStyle w:val="ListParagraph"/>
        <w:ind w:left="1440"/>
        <w:contextualSpacing/>
        <w:jc w:val="both"/>
        <w:rPr>
          <w:rFonts w:ascii="Arial" w:hAnsi="Arial" w:cs="Arial"/>
          <w:sz w:val="22"/>
          <w:szCs w:val="22"/>
          <w:lang w:eastAsia="en-PH"/>
        </w:rPr>
      </w:pPr>
    </w:p>
    <w:p>
      <w:pPr>
        <w:pStyle w:val="ListParagraph"/>
        <w:numPr>
          <w:ilvl w:val="1"/>
          <w:numId w:val="17"/>
        </w:numPr>
        <w:ind w:left="1418" w:hanging="709"/>
        <w:jc w:val="both"/>
        <w:rPr>
          <w:rFonts w:ascii="Arial" w:hAnsi="Arial" w:cs="Arial"/>
          <w:color w:val="000000" w:themeColor="text1"/>
          <w:sz w:val="22"/>
          <w:szCs w:val="22"/>
          <w:lang w:eastAsia="en-PH"/>
        </w:rPr>
      </w:pPr>
      <w:r>
        <w:rPr>
          <w:rFonts w:ascii="Arial" w:hAnsi="Arial" w:cs="Arial"/>
          <w:color w:val="000000" w:themeColor="text1"/>
          <w:sz w:val="22"/>
          <w:szCs w:val="22"/>
          <w:lang w:val="en-PH" w:eastAsia="en-PH"/>
        </w:rPr>
        <w:lastRenderedPageBreak/>
        <w:t xml:space="preserve">Review of the BRSs as of December 31, 2020 for the bank accounts in Table 9 revealed that the above-stated discrepancy was due to book reconciling items from CYs 2013 to 2020 amounting to P7.382 million [(P6.121 million + P1.850 million) – (P0.202 million + P0.387 million)] and bank reconciling items comprising of outstanding checks and bank error amounting to P39.548 million and P0.04 respectively, details shown in Table 10. </w:t>
      </w:r>
      <w:r>
        <w:rPr>
          <w:rFonts w:ascii="Arial" w:hAnsi="Arial" w:cs="Arial"/>
          <w:color w:val="000000" w:themeColor="text1"/>
          <w:sz w:val="22"/>
          <w:szCs w:val="22"/>
        </w:rPr>
        <w:t xml:space="preserve"> </w:t>
      </w:r>
    </w:p>
    <w:p>
      <w:pPr>
        <w:autoSpaceDE w:val="0"/>
        <w:autoSpaceDN w:val="0"/>
        <w:adjustRightInd w:val="0"/>
        <w:spacing w:after="0" w:line="240" w:lineRule="auto"/>
        <w:ind w:firstLine="540"/>
        <w:jc w:val="center"/>
        <w:rPr>
          <w:rFonts w:ascii="Arial" w:hAnsi="Arial" w:cs="Arial"/>
          <w:b/>
          <w:color w:val="000000" w:themeColor="text1"/>
          <w:lang w:eastAsia="en-PH"/>
        </w:rPr>
      </w:pPr>
    </w:p>
    <w:p>
      <w:pPr>
        <w:autoSpaceDE w:val="0"/>
        <w:autoSpaceDN w:val="0"/>
        <w:adjustRightInd w:val="0"/>
        <w:spacing w:after="0" w:line="240" w:lineRule="auto"/>
        <w:jc w:val="center"/>
        <w:rPr>
          <w:rFonts w:ascii="Arial" w:hAnsi="Arial" w:cs="Arial"/>
          <w:b/>
          <w:sz w:val="20"/>
          <w:szCs w:val="20"/>
          <w:lang w:eastAsia="en-PH"/>
        </w:rPr>
      </w:pPr>
      <w:r>
        <w:rPr>
          <w:rFonts w:ascii="Arial" w:hAnsi="Arial" w:cs="Arial"/>
          <w:b/>
          <w:sz w:val="20"/>
          <w:szCs w:val="20"/>
          <w:lang w:eastAsia="en-PH"/>
        </w:rPr>
        <w:t xml:space="preserve">Table 10 -  Summary of Unadjusted Book Reconciling Items </w:t>
      </w:r>
    </w:p>
    <w:p>
      <w:pPr>
        <w:autoSpaceDE w:val="0"/>
        <w:autoSpaceDN w:val="0"/>
        <w:adjustRightInd w:val="0"/>
        <w:spacing w:after="0" w:line="240" w:lineRule="auto"/>
        <w:jc w:val="center"/>
        <w:rPr>
          <w:rFonts w:ascii="Arial" w:hAnsi="Arial" w:cs="Arial"/>
          <w:b/>
          <w:sz w:val="20"/>
          <w:szCs w:val="20"/>
          <w:lang w:eastAsia="en-PH"/>
        </w:rPr>
      </w:pPr>
      <w:r>
        <w:rPr>
          <w:rFonts w:ascii="Arial" w:hAnsi="Arial" w:cs="Arial"/>
          <w:b/>
          <w:sz w:val="20"/>
          <w:szCs w:val="20"/>
          <w:lang w:eastAsia="en-PH"/>
        </w:rPr>
        <w:t>For  CYs 2013-2020</w:t>
      </w:r>
    </w:p>
    <w:p>
      <w:pPr>
        <w:autoSpaceDE w:val="0"/>
        <w:autoSpaceDN w:val="0"/>
        <w:adjustRightInd w:val="0"/>
        <w:spacing w:after="0" w:line="240" w:lineRule="auto"/>
        <w:jc w:val="center"/>
        <w:rPr>
          <w:rFonts w:ascii="Arial" w:hAnsi="Arial" w:cs="Arial"/>
          <w:b/>
          <w:sz w:val="20"/>
          <w:szCs w:val="20"/>
          <w:lang w:eastAsia="en-PH"/>
        </w:rPr>
      </w:pPr>
    </w:p>
    <w:tbl>
      <w:tblPr>
        <w:tblW w:w="9521" w:type="dxa"/>
        <w:jc w:val="center"/>
        <w:tblLayout w:type="fixed"/>
        <w:tblLook w:val="04A0" w:firstRow="1" w:lastRow="0" w:firstColumn="1" w:lastColumn="0" w:noHBand="0" w:noVBand="1"/>
      </w:tblPr>
      <w:tblGrid>
        <w:gridCol w:w="1701"/>
        <w:gridCol w:w="1134"/>
        <w:gridCol w:w="1125"/>
        <w:gridCol w:w="1104"/>
        <w:gridCol w:w="1107"/>
        <w:gridCol w:w="1233"/>
        <w:gridCol w:w="851"/>
        <w:gridCol w:w="1266"/>
      </w:tblGrid>
      <w:tr>
        <w:trPr>
          <w:trHeight w:val="1011"/>
          <w:tblHeader/>
          <w:jc w:val="center"/>
        </w:trPr>
        <w:tc>
          <w:tcPr>
            <w:tcW w:w="1701"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hanging="112"/>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Account No.</w:t>
            </w:r>
          </w:p>
        </w:tc>
        <w:tc>
          <w:tcPr>
            <w:tcW w:w="1134"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Unrecorded Collections /Deposits</w:t>
            </w:r>
          </w:p>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(CYs 2015-2020)</w:t>
            </w:r>
          </w:p>
        </w:tc>
        <w:tc>
          <w:tcPr>
            <w:tcW w:w="1125"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Fund Transfers from PDOs</w:t>
            </w:r>
          </w:p>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(CYs 2013-2020)</w:t>
            </w:r>
          </w:p>
        </w:tc>
        <w:tc>
          <w:tcPr>
            <w:tcW w:w="1104"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Difference in the amount of remittance</w:t>
            </w:r>
          </w:p>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(CYs 2013-2018)</w:t>
            </w:r>
          </w:p>
        </w:tc>
        <w:tc>
          <w:tcPr>
            <w:tcW w:w="1107"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 xml:space="preserve">Erroneous Recording </w:t>
            </w:r>
          </w:p>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(CYs 2015-2020)</w:t>
            </w:r>
          </w:p>
        </w:tc>
        <w:tc>
          <w:tcPr>
            <w:tcW w:w="1233" w:type="dxa"/>
            <w:tcBorders>
              <w:top w:val="single"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Outstanding Checks</w:t>
            </w:r>
          </w:p>
        </w:tc>
        <w:tc>
          <w:tcPr>
            <w:tcW w:w="851" w:type="dxa"/>
            <w:tcBorders>
              <w:top w:val="single"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Bank Error</w:t>
            </w:r>
          </w:p>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(CY2019)</w:t>
            </w:r>
          </w:p>
        </w:tc>
        <w:tc>
          <w:tcPr>
            <w:tcW w:w="1266"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Total</w:t>
            </w:r>
          </w:p>
        </w:tc>
      </w:tr>
      <w:tr>
        <w:trPr>
          <w:trHeight w:val="143"/>
          <w:jc w:val="center"/>
        </w:trPr>
        <w:tc>
          <w:tcPr>
            <w:tcW w:w="1701" w:type="dxa"/>
            <w:tcBorders>
              <w:top w:val="single" w:sz="4" w:space="0" w:color="auto"/>
            </w:tcBorders>
            <w:shd w:val="clear" w:color="auto" w:fill="auto"/>
            <w:vAlign w:val="bottom"/>
          </w:tcPr>
          <w:p>
            <w:pPr>
              <w:pStyle w:val="NoSpacing"/>
              <w:ind w:right="-18" w:hanging="112"/>
              <w:rPr>
                <w:rFonts w:ascii="Arial Narrow" w:hAnsi="Arial Narrow" w:cs="Arial"/>
                <w:b/>
                <w:i/>
                <w:color w:val="000000" w:themeColor="text1"/>
                <w:sz w:val="18"/>
                <w:szCs w:val="18"/>
              </w:rPr>
            </w:pPr>
            <w:r>
              <w:rPr>
                <w:rFonts w:ascii="Arial Narrow" w:hAnsi="Arial Narrow" w:cs="Arial"/>
                <w:b/>
                <w:i/>
                <w:color w:val="000000" w:themeColor="text1"/>
                <w:sz w:val="18"/>
                <w:szCs w:val="18"/>
                <w:u w:val="single"/>
              </w:rPr>
              <w:t>Prize Fund:</w:t>
            </w:r>
          </w:p>
        </w:tc>
        <w:tc>
          <w:tcPr>
            <w:tcW w:w="1134" w:type="dxa"/>
            <w:tcBorders>
              <w:top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c>
          <w:tcPr>
            <w:tcW w:w="1125" w:type="dxa"/>
            <w:tcBorders>
              <w:top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c>
          <w:tcPr>
            <w:tcW w:w="1104" w:type="dxa"/>
            <w:tcBorders>
              <w:top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c>
          <w:tcPr>
            <w:tcW w:w="1107" w:type="dxa"/>
            <w:tcBorders>
              <w:top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c>
          <w:tcPr>
            <w:tcW w:w="1233" w:type="dxa"/>
            <w:tcBorders>
              <w:top w:val="single"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c>
          <w:tcPr>
            <w:tcW w:w="851" w:type="dxa"/>
            <w:tcBorders>
              <w:top w:val="single"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c>
          <w:tcPr>
            <w:tcW w:w="1266" w:type="dxa"/>
            <w:tcBorders>
              <w:top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r>
      <w:tr>
        <w:trPr>
          <w:trHeight w:val="468"/>
          <w:jc w:val="center"/>
        </w:trPr>
        <w:tc>
          <w:tcPr>
            <w:tcW w:w="1701" w:type="dxa"/>
            <w:tcBorders>
              <w:bottom w:val="dotted" w:sz="4" w:space="0" w:color="auto"/>
            </w:tcBorders>
            <w:shd w:val="clear" w:color="auto" w:fill="auto"/>
            <w:vAlign w:val="bottom"/>
          </w:tcPr>
          <w:p>
            <w:pPr>
              <w:pStyle w:val="NoSpacing"/>
              <w:ind w:right="-18" w:hanging="112"/>
              <w:jc w:val="both"/>
              <w:rPr>
                <w:rFonts w:ascii="Arial Narrow" w:hAnsi="Arial Narrow" w:cs="Arial"/>
                <w:color w:val="000000" w:themeColor="text1"/>
                <w:sz w:val="18"/>
                <w:szCs w:val="18"/>
                <w:lang w:eastAsia="en-PH"/>
              </w:rPr>
            </w:pPr>
            <w:r>
              <w:rPr>
                <w:rFonts w:ascii="Arial Narrow" w:hAnsi="Arial Narrow" w:cs="Arial"/>
                <w:color w:val="000000" w:themeColor="text1"/>
                <w:sz w:val="18"/>
                <w:szCs w:val="18"/>
              </w:rPr>
              <w:t>LBP Acct No. 3102-XXXX (Prize Fund)</w:t>
            </w:r>
          </w:p>
        </w:tc>
        <w:tc>
          <w:tcPr>
            <w:tcW w:w="1134" w:type="dxa"/>
            <w:tcBorders>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w:t>
            </w:r>
          </w:p>
        </w:tc>
        <w:tc>
          <w:tcPr>
            <w:tcW w:w="1125" w:type="dxa"/>
            <w:tcBorders>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(870,563.16)</w:t>
            </w:r>
          </w:p>
        </w:tc>
        <w:tc>
          <w:tcPr>
            <w:tcW w:w="1104" w:type="dxa"/>
            <w:tcBorders>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w:t>
            </w:r>
          </w:p>
        </w:tc>
        <w:tc>
          <w:tcPr>
            <w:tcW w:w="1107" w:type="dxa"/>
            <w:tcBorders>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w:t>
            </w:r>
          </w:p>
        </w:tc>
        <w:tc>
          <w:tcPr>
            <w:tcW w:w="1233" w:type="dxa"/>
            <w:tcBorders>
              <w:bottom w:val="dotted"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2,563,137.48</w:t>
            </w:r>
          </w:p>
        </w:tc>
        <w:tc>
          <w:tcPr>
            <w:tcW w:w="851" w:type="dxa"/>
            <w:tcBorders>
              <w:bottom w:val="dotted"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w:t>
            </w:r>
          </w:p>
        </w:tc>
        <w:tc>
          <w:tcPr>
            <w:tcW w:w="1266" w:type="dxa"/>
            <w:tcBorders>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1,692,574.32</w:t>
            </w:r>
          </w:p>
        </w:tc>
      </w:tr>
      <w:tr>
        <w:trPr>
          <w:trHeight w:val="650"/>
          <w:jc w:val="center"/>
        </w:trPr>
        <w:tc>
          <w:tcPr>
            <w:tcW w:w="1701" w:type="dxa"/>
            <w:tcBorders>
              <w:top w:val="dotted" w:sz="4" w:space="0" w:color="auto"/>
              <w:bottom w:val="dotted" w:sz="4" w:space="0" w:color="auto"/>
            </w:tcBorders>
            <w:shd w:val="clear" w:color="auto" w:fill="auto"/>
            <w:vAlign w:val="bottom"/>
          </w:tcPr>
          <w:p>
            <w:pPr>
              <w:pStyle w:val="NoSpacing"/>
              <w:ind w:hanging="112"/>
              <w:jc w:val="both"/>
              <w:rPr>
                <w:rFonts w:ascii="Arial Narrow" w:hAnsi="Arial Narrow" w:cs="Arial"/>
                <w:color w:val="000000" w:themeColor="text1"/>
                <w:sz w:val="18"/>
                <w:szCs w:val="18"/>
              </w:rPr>
            </w:pPr>
            <w:r>
              <w:rPr>
                <w:rFonts w:ascii="Arial Narrow" w:hAnsi="Arial Narrow" w:cs="Arial"/>
                <w:color w:val="000000" w:themeColor="text1"/>
                <w:sz w:val="18"/>
                <w:szCs w:val="18"/>
              </w:rPr>
              <w:t xml:space="preserve">LBP Acct No. 3102-XXXX (STL Remittance -Prize </w:t>
            </w:r>
          </w:p>
          <w:p>
            <w:pPr>
              <w:pStyle w:val="NoSpacing"/>
              <w:ind w:hanging="112"/>
              <w:jc w:val="both"/>
              <w:rPr>
                <w:rFonts w:ascii="Arial Narrow" w:hAnsi="Arial Narrow" w:cs="Arial"/>
                <w:color w:val="000000" w:themeColor="text1"/>
                <w:sz w:val="18"/>
                <w:szCs w:val="18"/>
              </w:rPr>
            </w:pPr>
            <w:r>
              <w:rPr>
                <w:rFonts w:ascii="Arial Narrow" w:hAnsi="Arial Narrow" w:cs="Arial"/>
                <w:color w:val="000000" w:themeColor="text1"/>
                <w:sz w:val="18"/>
                <w:szCs w:val="18"/>
              </w:rPr>
              <w:t>Fund)</w:t>
            </w:r>
          </w:p>
        </w:tc>
        <w:tc>
          <w:tcPr>
            <w:tcW w:w="1134"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768,101.54</w:t>
            </w:r>
          </w:p>
        </w:tc>
        <w:tc>
          <w:tcPr>
            <w:tcW w:w="1125"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w:t>
            </w:r>
          </w:p>
        </w:tc>
        <w:tc>
          <w:tcPr>
            <w:tcW w:w="1104"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661,183.47</w:t>
            </w:r>
          </w:p>
        </w:tc>
        <w:tc>
          <w:tcPr>
            <w:tcW w:w="1107"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(218,112.88)</w:t>
            </w:r>
          </w:p>
        </w:tc>
        <w:tc>
          <w:tcPr>
            <w:tcW w:w="1233" w:type="dxa"/>
            <w:tcBorders>
              <w:top w:val="dotted" w:sz="4" w:space="0" w:color="auto"/>
              <w:bottom w:val="dotted"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w:t>
            </w:r>
          </w:p>
        </w:tc>
        <w:tc>
          <w:tcPr>
            <w:tcW w:w="851" w:type="dxa"/>
            <w:tcBorders>
              <w:top w:val="dotted" w:sz="4" w:space="0" w:color="auto"/>
              <w:bottom w:val="dotted"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w:t>
            </w:r>
          </w:p>
        </w:tc>
        <w:tc>
          <w:tcPr>
            <w:tcW w:w="1266"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1,211,172.13</w:t>
            </w:r>
          </w:p>
        </w:tc>
      </w:tr>
      <w:tr>
        <w:trPr>
          <w:trHeight w:val="170"/>
          <w:jc w:val="center"/>
        </w:trPr>
        <w:tc>
          <w:tcPr>
            <w:tcW w:w="1701" w:type="dxa"/>
            <w:tcBorders>
              <w:top w:val="dotted" w:sz="4" w:space="0" w:color="auto"/>
              <w:bottom w:val="dotted" w:sz="4" w:space="0" w:color="auto"/>
            </w:tcBorders>
            <w:shd w:val="clear" w:color="auto" w:fill="auto"/>
            <w:vAlign w:val="bottom"/>
          </w:tcPr>
          <w:p>
            <w:pPr>
              <w:pStyle w:val="NoSpacing"/>
              <w:ind w:right="-18" w:hanging="112"/>
              <w:rPr>
                <w:rFonts w:ascii="Arial Narrow" w:hAnsi="Arial Narrow" w:cs="Arial"/>
                <w:b/>
                <w:i/>
                <w:color w:val="000000" w:themeColor="text1"/>
                <w:sz w:val="18"/>
                <w:szCs w:val="18"/>
              </w:rPr>
            </w:pPr>
            <w:r>
              <w:rPr>
                <w:rFonts w:ascii="Arial Narrow" w:hAnsi="Arial Narrow" w:cs="Arial"/>
                <w:b/>
                <w:i/>
                <w:color w:val="000000" w:themeColor="text1"/>
                <w:sz w:val="18"/>
                <w:szCs w:val="18"/>
                <w:u w:val="single"/>
              </w:rPr>
              <w:t>Charity:</w:t>
            </w:r>
          </w:p>
        </w:tc>
        <w:tc>
          <w:tcPr>
            <w:tcW w:w="1134"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ind w:left="-198"/>
              <w:jc w:val="right"/>
              <w:rPr>
                <w:rFonts w:ascii="Arial Narrow" w:hAnsi="Arial Narrow" w:cs="Arial"/>
                <w:color w:val="000000" w:themeColor="text1"/>
                <w:sz w:val="18"/>
                <w:szCs w:val="18"/>
                <w:lang w:eastAsia="en-PH"/>
              </w:rPr>
            </w:pPr>
          </w:p>
        </w:tc>
        <w:tc>
          <w:tcPr>
            <w:tcW w:w="1125"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c>
          <w:tcPr>
            <w:tcW w:w="1104"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c>
          <w:tcPr>
            <w:tcW w:w="1107"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c>
          <w:tcPr>
            <w:tcW w:w="1233" w:type="dxa"/>
            <w:tcBorders>
              <w:top w:val="dotted" w:sz="4" w:space="0" w:color="auto"/>
              <w:bottom w:val="dotted"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c>
          <w:tcPr>
            <w:tcW w:w="851" w:type="dxa"/>
            <w:tcBorders>
              <w:top w:val="dotted" w:sz="4" w:space="0" w:color="auto"/>
              <w:bottom w:val="dotted"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c>
          <w:tcPr>
            <w:tcW w:w="1266"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p>
        </w:tc>
      </w:tr>
      <w:tr>
        <w:trPr>
          <w:trHeight w:val="419"/>
          <w:jc w:val="center"/>
        </w:trPr>
        <w:tc>
          <w:tcPr>
            <w:tcW w:w="1701" w:type="dxa"/>
            <w:tcBorders>
              <w:top w:val="dotted" w:sz="4" w:space="0" w:color="auto"/>
              <w:bottom w:val="dotted" w:sz="4" w:space="0" w:color="auto"/>
            </w:tcBorders>
            <w:shd w:val="clear" w:color="auto" w:fill="auto"/>
            <w:vAlign w:val="bottom"/>
          </w:tcPr>
          <w:p>
            <w:pPr>
              <w:pStyle w:val="NoSpacing"/>
              <w:ind w:right="-18" w:hanging="112"/>
              <w:jc w:val="both"/>
              <w:rPr>
                <w:rFonts w:ascii="Arial Narrow" w:hAnsi="Arial Narrow" w:cs="Arial"/>
                <w:color w:val="000000" w:themeColor="text1"/>
                <w:sz w:val="18"/>
                <w:szCs w:val="18"/>
              </w:rPr>
            </w:pPr>
            <w:r>
              <w:rPr>
                <w:rFonts w:ascii="Arial Narrow" w:hAnsi="Arial Narrow" w:cs="Arial"/>
                <w:color w:val="000000" w:themeColor="text1"/>
                <w:sz w:val="18"/>
                <w:szCs w:val="18"/>
              </w:rPr>
              <w:t>LBP Acct No. 3102-XXXX (Charity Fund)</w:t>
            </w:r>
          </w:p>
        </w:tc>
        <w:tc>
          <w:tcPr>
            <w:tcW w:w="1134"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5,000,000.00</w:t>
            </w:r>
          </w:p>
        </w:tc>
        <w:tc>
          <w:tcPr>
            <w:tcW w:w="1125"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2,720,225.33</w:t>
            </w:r>
          </w:p>
        </w:tc>
        <w:tc>
          <w:tcPr>
            <w:tcW w:w="1104"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w:t>
            </w:r>
          </w:p>
        </w:tc>
        <w:tc>
          <w:tcPr>
            <w:tcW w:w="1107"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11,408.00</w:t>
            </w:r>
          </w:p>
        </w:tc>
        <w:tc>
          <w:tcPr>
            <w:tcW w:w="1233" w:type="dxa"/>
            <w:tcBorders>
              <w:top w:val="dotted" w:sz="4" w:space="0" w:color="auto"/>
              <w:bottom w:val="dotted"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 xml:space="preserve">36,984,591.84 </w:t>
            </w:r>
          </w:p>
        </w:tc>
        <w:tc>
          <w:tcPr>
            <w:tcW w:w="851" w:type="dxa"/>
            <w:tcBorders>
              <w:top w:val="dotted" w:sz="4" w:space="0" w:color="auto"/>
              <w:bottom w:val="dotted"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0.04</w:t>
            </w:r>
          </w:p>
        </w:tc>
        <w:tc>
          <w:tcPr>
            <w:tcW w:w="1266" w:type="dxa"/>
            <w:tcBorders>
              <w:top w:val="dotted" w:sz="4" w:space="0" w:color="auto"/>
              <w:bottom w:val="dotted"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44,716,225.21</w:t>
            </w:r>
          </w:p>
        </w:tc>
      </w:tr>
      <w:tr>
        <w:trPr>
          <w:trHeight w:val="419"/>
          <w:jc w:val="center"/>
        </w:trPr>
        <w:tc>
          <w:tcPr>
            <w:tcW w:w="1701" w:type="dxa"/>
            <w:tcBorders>
              <w:top w:val="dotted" w:sz="4" w:space="0" w:color="auto"/>
              <w:bottom w:val="single" w:sz="4" w:space="0" w:color="auto"/>
            </w:tcBorders>
            <w:shd w:val="clear" w:color="auto" w:fill="auto"/>
            <w:vAlign w:val="bottom"/>
          </w:tcPr>
          <w:p>
            <w:pPr>
              <w:pStyle w:val="NoSpacing"/>
              <w:ind w:right="-18" w:hanging="112"/>
              <w:jc w:val="both"/>
              <w:rPr>
                <w:rFonts w:ascii="Arial Narrow" w:hAnsi="Arial Narrow" w:cs="Arial"/>
                <w:color w:val="000000" w:themeColor="text1"/>
                <w:sz w:val="18"/>
                <w:szCs w:val="18"/>
              </w:rPr>
            </w:pPr>
            <w:r>
              <w:rPr>
                <w:rFonts w:ascii="Arial Narrow" w:hAnsi="Arial Narrow" w:cs="Arial"/>
                <w:color w:val="000000" w:themeColor="text1"/>
                <w:sz w:val="18"/>
                <w:szCs w:val="18"/>
              </w:rPr>
              <w:t>LBP Acct No.3102-XXXX (STL Remittance – Charity Fund)</w:t>
            </w:r>
          </w:p>
        </w:tc>
        <w:tc>
          <w:tcPr>
            <w:tcW w:w="1134" w:type="dxa"/>
            <w:tcBorders>
              <w:top w:val="dotted"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353,355.53</w:t>
            </w:r>
          </w:p>
        </w:tc>
        <w:tc>
          <w:tcPr>
            <w:tcW w:w="1125" w:type="dxa"/>
            <w:tcBorders>
              <w:top w:val="dotted"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w:t>
            </w:r>
          </w:p>
        </w:tc>
        <w:tc>
          <w:tcPr>
            <w:tcW w:w="1104" w:type="dxa"/>
            <w:tcBorders>
              <w:top w:val="dotted"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(863,673.82)</w:t>
            </w:r>
          </w:p>
        </w:tc>
        <w:tc>
          <w:tcPr>
            <w:tcW w:w="1107" w:type="dxa"/>
            <w:tcBorders>
              <w:top w:val="dotted"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(180,009.49)</w:t>
            </w:r>
          </w:p>
        </w:tc>
        <w:tc>
          <w:tcPr>
            <w:tcW w:w="1233" w:type="dxa"/>
            <w:tcBorders>
              <w:top w:val="dotted"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w:t>
            </w:r>
          </w:p>
        </w:tc>
        <w:tc>
          <w:tcPr>
            <w:tcW w:w="851" w:type="dxa"/>
            <w:tcBorders>
              <w:top w:val="dotted"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w:t>
            </w:r>
          </w:p>
        </w:tc>
        <w:tc>
          <w:tcPr>
            <w:tcW w:w="1266" w:type="dxa"/>
            <w:tcBorders>
              <w:top w:val="dotted"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color w:val="000000" w:themeColor="text1"/>
                <w:sz w:val="18"/>
                <w:szCs w:val="18"/>
                <w:lang w:eastAsia="en-PH"/>
              </w:rPr>
            </w:pPr>
            <w:r>
              <w:rPr>
                <w:rFonts w:ascii="Arial Narrow" w:hAnsi="Arial Narrow" w:cs="Arial"/>
                <w:color w:val="000000" w:themeColor="text1"/>
                <w:sz w:val="18"/>
                <w:szCs w:val="18"/>
                <w:lang w:eastAsia="en-PH"/>
              </w:rPr>
              <w:t>(690,327.78)</w:t>
            </w:r>
          </w:p>
        </w:tc>
      </w:tr>
      <w:tr>
        <w:trPr>
          <w:trHeight w:val="260"/>
          <w:jc w:val="center"/>
        </w:trPr>
        <w:tc>
          <w:tcPr>
            <w:tcW w:w="1701" w:type="dxa"/>
            <w:tcBorders>
              <w:top w:val="single" w:sz="4" w:space="0" w:color="auto"/>
              <w:bottom w:val="double" w:sz="4" w:space="0" w:color="auto"/>
            </w:tcBorders>
            <w:shd w:val="clear" w:color="auto" w:fill="auto"/>
            <w:vAlign w:val="bottom"/>
          </w:tcPr>
          <w:p>
            <w:pPr>
              <w:pStyle w:val="NoSpacing"/>
              <w:ind w:right="-18" w:hanging="112"/>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TOTAL</w:t>
            </w:r>
          </w:p>
        </w:tc>
        <w:tc>
          <w:tcPr>
            <w:tcW w:w="1134"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6,121,457.07</w:t>
            </w:r>
          </w:p>
        </w:tc>
        <w:tc>
          <w:tcPr>
            <w:tcW w:w="1125"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1,849,662.17</w:t>
            </w:r>
          </w:p>
        </w:tc>
        <w:tc>
          <w:tcPr>
            <w:tcW w:w="1104"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(202,490.35)</w:t>
            </w:r>
          </w:p>
        </w:tc>
        <w:tc>
          <w:tcPr>
            <w:tcW w:w="1107"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(386,714.37)</w:t>
            </w:r>
          </w:p>
        </w:tc>
        <w:tc>
          <w:tcPr>
            <w:tcW w:w="1233" w:type="dxa"/>
            <w:tcBorders>
              <w:top w:val="single" w:sz="4" w:space="0" w:color="auto"/>
              <w:bottom w:val="double" w:sz="4" w:space="0" w:color="auto"/>
            </w:tcBorders>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39,547,729.32</w:t>
            </w:r>
          </w:p>
        </w:tc>
        <w:tc>
          <w:tcPr>
            <w:tcW w:w="851" w:type="dxa"/>
            <w:tcBorders>
              <w:top w:val="single" w:sz="4" w:space="0" w:color="auto"/>
              <w:bottom w:val="double" w:sz="4" w:space="0" w:color="auto"/>
            </w:tcBorders>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0.04</w:t>
            </w:r>
          </w:p>
        </w:tc>
        <w:tc>
          <w:tcPr>
            <w:tcW w:w="1266"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color w:val="000000" w:themeColor="text1"/>
                <w:sz w:val="18"/>
                <w:szCs w:val="18"/>
                <w:lang w:eastAsia="en-PH"/>
              </w:rPr>
            </w:pPr>
            <w:r>
              <w:rPr>
                <w:rFonts w:ascii="Arial Narrow" w:hAnsi="Arial Narrow" w:cs="Arial"/>
                <w:b/>
                <w:color w:val="000000" w:themeColor="text1"/>
                <w:sz w:val="18"/>
                <w:szCs w:val="18"/>
                <w:lang w:eastAsia="en-PH"/>
              </w:rPr>
              <w:t>46,929,643.88</w:t>
            </w:r>
          </w:p>
        </w:tc>
      </w:tr>
    </w:tbl>
    <w:p>
      <w:pPr>
        <w:pStyle w:val="ListParagraph"/>
        <w:ind w:left="1440"/>
        <w:contextualSpacing/>
        <w:jc w:val="both"/>
        <w:rPr>
          <w:rFonts w:ascii="Arial" w:hAnsi="Arial" w:cs="Arial"/>
          <w:sz w:val="22"/>
          <w:szCs w:val="22"/>
          <w:lang w:eastAsia="en-PH"/>
        </w:rPr>
      </w:pPr>
    </w:p>
    <w:p>
      <w:pPr>
        <w:pStyle w:val="ListParagraph"/>
        <w:numPr>
          <w:ilvl w:val="1"/>
          <w:numId w:val="17"/>
        </w:numPr>
        <w:ind w:left="1418" w:hanging="709"/>
        <w:jc w:val="both"/>
        <w:rPr>
          <w:rFonts w:ascii="Arial" w:hAnsi="Arial" w:cs="Arial"/>
          <w:sz w:val="22"/>
          <w:szCs w:val="22"/>
          <w:lang w:eastAsia="en-PH"/>
        </w:rPr>
      </w:pPr>
      <w:r>
        <w:rPr>
          <w:rFonts w:ascii="Arial" w:hAnsi="Arial" w:cs="Arial"/>
          <w:bCs/>
          <w:sz w:val="22"/>
          <w:szCs w:val="22"/>
          <w:lang w:val="en-PH" w:eastAsia="en-PH"/>
        </w:rPr>
        <w:t xml:space="preserve">Verification disclosed that part of the book reconciling items was the amount of P2.316 million pertaining to the numerous errors in the recording of fund transfers and remittances from CYs 2013 to 2019 and the amount of </w:t>
      </w:r>
      <w:r>
        <w:rPr>
          <w:rFonts w:ascii="Arial" w:hAnsi="Arial" w:cs="Arial"/>
          <w:sz w:val="22"/>
          <w:szCs w:val="22"/>
        </w:rPr>
        <w:t xml:space="preserve">P5.066 million represents unrecorded deposits for the months of May, July and December 2020.  </w:t>
      </w:r>
    </w:p>
    <w:p>
      <w:pPr>
        <w:spacing w:after="0" w:line="240" w:lineRule="auto"/>
        <w:ind w:left="720"/>
        <w:jc w:val="both"/>
        <w:rPr>
          <w:rFonts w:ascii="Arial" w:eastAsia="Calibri" w:hAnsi="Arial" w:cs="Arial"/>
          <w:lang w:val="en-US"/>
        </w:rPr>
      </w:pPr>
    </w:p>
    <w:p>
      <w:pPr>
        <w:spacing w:after="0" w:line="240" w:lineRule="auto"/>
        <w:ind w:left="720" w:right="2970"/>
        <w:jc w:val="both"/>
        <w:rPr>
          <w:rFonts w:ascii="Arial" w:hAnsi="Arial" w:cs="Arial"/>
          <w:i/>
          <w:color w:val="000000" w:themeColor="text1"/>
        </w:rPr>
      </w:pPr>
      <w:r>
        <w:rPr>
          <w:rFonts w:ascii="Arial" w:hAnsi="Arial" w:cs="Arial"/>
          <w:i/>
          <w:color w:val="000000" w:themeColor="text1"/>
        </w:rPr>
        <w:t xml:space="preserve">JEVs effecting the adjusting entries totaling P59.681 million representing prior years’ book reconciling items noted in the bank reconciliation statements had incomplete and/or no supporting documents, contrary to Appendix 36(C) of the GAM, Volume II and QC26 of the </w:t>
      </w:r>
      <w:r>
        <w:rPr>
          <w:rFonts w:ascii="Arial" w:hAnsi="Arial" w:cs="Arial"/>
          <w:bCs/>
          <w:i/>
          <w:color w:val="000000" w:themeColor="text1"/>
        </w:rPr>
        <w:t>CFGPF</w:t>
      </w:r>
      <w:r>
        <w:rPr>
          <w:rFonts w:ascii="Arial" w:hAnsi="Arial" w:cs="Arial"/>
          <w:i/>
          <w:color w:val="000000" w:themeColor="text1"/>
        </w:rPr>
        <w:t>R</w:t>
      </w:r>
    </w:p>
    <w:p>
      <w:pPr>
        <w:spacing w:after="0" w:line="240" w:lineRule="auto"/>
        <w:ind w:left="720"/>
        <w:jc w:val="both"/>
        <w:rPr>
          <w:rFonts w:ascii="Arial" w:eastAsia="Calibri" w:hAnsi="Arial" w:cs="Arial"/>
          <w:lang w:val="en-US"/>
        </w:rPr>
      </w:pPr>
    </w:p>
    <w:p>
      <w:pPr>
        <w:pStyle w:val="ListParagraph"/>
        <w:numPr>
          <w:ilvl w:val="1"/>
          <w:numId w:val="17"/>
        </w:numPr>
        <w:ind w:left="1418" w:hanging="709"/>
        <w:jc w:val="both"/>
        <w:rPr>
          <w:rFonts w:ascii="Arial" w:eastAsia="Calibri" w:hAnsi="Arial" w:cs="Arial"/>
          <w:sz w:val="22"/>
          <w:szCs w:val="22"/>
        </w:rPr>
      </w:pPr>
      <w:r>
        <w:rPr>
          <w:rFonts w:ascii="Arial" w:hAnsi="Arial" w:cs="Arial"/>
          <w:sz w:val="22"/>
          <w:szCs w:val="22"/>
        </w:rPr>
        <w:t>Appendix 36 - Instructions- Journal Entry Voucher, GAM, Volume II states:</w:t>
      </w:r>
    </w:p>
    <w:p>
      <w:pPr>
        <w:pStyle w:val="Header"/>
        <w:ind w:left="1710" w:right="389" w:firstLine="0"/>
        <w:rPr>
          <w:rFonts w:cs="Arial"/>
          <w:sz w:val="22"/>
          <w:szCs w:val="22"/>
        </w:rPr>
      </w:pPr>
    </w:p>
    <w:p>
      <w:pPr>
        <w:pStyle w:val="Header"/>
        <w:ind w:left="1985" w:right="691" w:firstLine="0"/>
        <w:rPr>
          <w:rFonts w:cs="Arial"/>
          <w:i/>
          <w:sz w:val="22"/>
          <w:szCs w:val="22"/>
        </w:rPr>
      </w:pPr>
      <w:r>
        <w:rPr>
          <w:rFonts w:cs="Arial"/>
          <w:i/>
          <w:sz w:val="22"/>
          <w:szCs w:val="22"/>
        </w:rPr>
        <w:t>C.  It shall be prepared in two (2) copies by the Accounting Division/Unit based on the transaction documents presented and distributed as follows:</w:t>
      </w:r>
    </w:p>
    <w:p>
      <w:pPr>
        <w:pStyle w:val="Header"/>
        <w:ind w:left="2790" w:right="389" w:hanging="2250"/>
        <w:rPr>
          <w:rFonts w:cs="Arial"/>
          <w:i/>
          <w:sz w:val="22"/>
          <w:szCs w:val="22"/>
        </w:rPr>
      </w:pPr>
      <w:r>
        <w:rPr>
          <w:rFonts w:cs="Arial"/>
          <w:i/>
          <w:sz w:val="22"/>
          <w:szCs w:val="22"/>
        </w:rPr>
        <w:t xml:space="preserve">                  </w:t>
      </w:r>
    </w:p>
    <w:p>
      <w:pPr>
        <w:pStyle w:val="Header"/>
        <w:ind w:left="2880" w:right="691" w:hanging="895"/>
        <w:rPr>
          <w:rFonts w:cs="Arial"/>
          <w:i/>
          <w:sz w:val="22"/>
          <w:szCs w:val="22"/>
        </w:rPr>
      </w:pPr>
      <w:r>
        <w:rPr>
          <w:rFonts w:cs="Arial"/>
          <w:i/>
          <w:sz w:val="22"/>
          <w:szCs w:val="22"/>
        </w:rPr>
        <w:lastRenderedPageBreak/>
        <w:t xml:space="preserve">Original - submitted to the COA Auditor together </w:t>
      </w:r>
      <w:r>
        <w:rPr>
          <w:rFonts w:cs="Arial"/>
          <w:b/>
          <w:i/>
          <w:sz w:val="22"/>
          <w:szCs w:val="22"/>
        </w:rPr>
        <w:t>with the supporting documents</w:t>
      </w:r>
      <w:r>
        <w:rPr>
          <w:rFonts w:cs="Arial"/>
          <w:i/>
          <w:sz w:val="22"/>
          <w:szCs w:val="22"/>
        </w:rPr>
        <w:t xml:space="preserve"> after recording in the journals for post audit.</w:t>
      </w:r>
    </w:p>
    <w:p>
      <w:pPr>
        <w:pStyle w:val="Header"/>
        <w:ind w:left="2340" w:right="389" w:hanging="2250"/>
        <w:rPr>
          <w:rFonts w:cs="Arial"/>
          <w:i/>
          <w:sz w:val="22"/>
          <w:szCs w:val="22"/>
        </w:rPr>
      </w:pPr>
    </w:p>
    <w:p>
      <w:pPr>
        <w:pStyle w:val="Header"/>
        <w:ind w:left="1800" w:right="691" w:firstLine="0"/>
        <w:rPr>
          <w:rFonts w:cs="Arial"/>
          <w:i/>
          <w:sz w:val="22"/>
          <w:szCs w:val="22"/>
        </w:rPr>
      </w:pPr>
      <w:r>
        <w:rPr>
          <w:rFonts w:cs="Arial"/>
          <w:i/>
          <w:sz w:val="22"/>
          <w:szCs w:val="22"/>
        </w:rPr>
        <w:t xml:space="preserve">  Copy 2   -  retained by the Accounting Division/Unit for file</w:t>
      </w:r>
    </w:p>
    <w:p>
      <w:pPr>
        <w:pStyle w:val="ListParagraph"/>
        <w:ind w:left="1440"/>
        <w:contextualSpacing/>
        <w:jc w:val="both"/>
        <w:rPr>
          <w:rFonts w:ascii="Arial" w:eastAsia="Calibri" w:hAnsi="Arial" w:cs="Arial"/>
          <w:sz w:val="22"/>
          <w:szCs w:val="22"/>
        </w:rPr>
      </w:pPr>
    </w:p>
    <w:p>
      <w:pPr>
        <w:pStyle w:val="ListParagraph"/>
        <w:numPr>
          <w:ilvl w:val="1"/>
          <w:numId w:val="17"/>
        </w:numPr>
        <w:ind w:left="1418" w:hanging="709"/>
        <w:jc w:val="both"/>
        <w:rPr>
          <w:rFonts w:ascii="Arial" w:eastAsia="Calibri" w:hAnsi="Arial" w:cs="Arial"/>
          <w:bCs/>
          <w:color w:val="000000" w:themeColor="text1"/>
          <w:sz w:val="22"/>
          <w:szCs w:val="22"/>
        </w:rPr>
      </w:pPr>
      <w:r>
        <w:rPr>
          <w:rFonts w:ascii="Arial" w:eastAsiaTheme="minorHAnsi" w:hAnsi="Arial" w:cs="Arial"/>
          <w:iCs/>
          <w:color w:val="000000" w:themeColor="text1"/>
          <w:sz w:val="22"/>
          <w:szCs w:val="22"/>
        </w:rPr>
        <w:t xml:space="preserve">QC26 of </w:t>
      </w:r>
      <w:r>
        <w:rPr>
          <w:rFonts w:ascii="Arial" w:hAnsi="Arial" w:cs="Arial"/>
          <w:bCs/>
          <w:color w:val="000000" w:themeColor="text1"/>
          <w:sz w:val="22"/>
          <w:szCs w:val="22"/>
        </w:rPr>
        <w:t>CFGPFR</w:t>
      </w:r>
      <w:r>
        <w:rPr>
          <w:rFonts w:ascii="Arial" w:eastAsiaTheme="minorHAnsi" w:hAnsi="Arial" w:cs="Arial"/>
          <w:iCs/>
          <w:color w:val="000000" w:themeColor="text1"/>
          <w:sz w:val="22"/>
          <w:szCs w:val="22"/>
        </w:rPr>
        <w:t xml:space="preserve"> provides that:</w:t>
      </w:r>
    </w:p>
    <w:p>
      <w:pPr>
        <w:pStyle w:val="ListParagraph"/>
        <w:tabs>
          <w:tab w:val="left" w:pos="-3060"/>
        </w:tabs>
        <w:ind w:left="792" w:right="18"/>
        <w:jc w:val="both"/>
        <w:rPr>
          <w:rFonts w:ascii="Arial" w:eastAsia="Calibri" w:hAnsi="Arial" w:cs="Arial"/>
          <w:bCs/>
          <w:color w:val="000000" w:themeColor="text1"/>
          <w:sz w:val="22"/>
          <w:szCs w:val="22"/>
        </w:rPr>
      </w:pPr>
    </w:p>
    <w:p>
      <w:pPr>
        <w:pStyle w:val="ListParagraph"/>
        <w:ind w:left="1985" w:right="702"/>
        <w:contextualSpacing/>
        <w:jc w:val="both"/>
        <w:rPr>
          <w:rFonts w:ascii="Arial" w:eastAsia="Calibri" w:hAnsi="Arial" w:cs="Arial"/>
          <w:sz w:val="22"/>
          <w:szCs w:val="22"/>
        </w:rPr>
      </w:pPr>
      <w:r>
        <w:rPr>
          <w:rFonts w:ascii="Arial" w:eastAsiaTheme="minorHAnsi" w:hAnsi="Arial" w:cs="Arial"/>
          <w:i/>
          <w:iCs/>
          <w:color w:val="000000" w:themeColor="text1"/>
          <w:sz w:val="22"/>
          <w:szCs w:val="22"/>
        </w:rPr>
        <w:t>Verifiability helps assure that information faithfully represents the economic phenomena it purports to represent. Verifiability means that different knowledgeable and independent observers could reach consensus, although not necessarily complete agreement, that a particular depiction is a faithful representation. Quantified information need not be a single point estimate to be verifiable. A range of possible amounts and the related probabilities can also be verified.</w:t>
      </w:r>
    </w:p>
    <w:p>
      <w:pPr>
        <w:pStyle w:val="ListParagraph"/>
        <w:ind w:left="1440"/>
        <w:contextualSpacing/>
        <w:jc w:val="both"/>
        <w:rPr>
          <w:rFonts w:ascii="Arial" w:eastAsia="Calibri" w:hAnsi="Arial" w:cs="Arial"/>
          <w:sz w:val="22"/>
          <w:szCs w:val="22"/>
        </w:rPr>
      </w:pPr>
    </w:p>
    <w:p>
      <w:pPr>
        <w:pStyle w:val="ListParagraph"/>
        <w:numPr>
          <w:ilvl w:val="1"/>
          <w:numId w:val="17"/>
        </w:numPr>
        <w:ind w:left="1418" w:hanging="709"/>
        <w:jc w:val="both"/>
        <w:rPr>
          <w:rFonts w:ascii="Arial" w:eastAsia="Calibri" w:hAnsi="Arial" w:cs="Arial"/>
          <w:color w:val="000000" w:themeColor="text1"/>
          <w:sz w:val="22"/>
          <w:szCs w:val="22"/>
        </w:rPr>
      </w:pPr>
      <w:r>
        <w:rPr>
          <w:rFonts w:ascii="Arial" w:hAnsi="Arial" w:cs="Arial"/>
          <w:bCs/>
          <w:color w:val="000000" w:themeColor="text1"/>
          <w:sz w:val="22"/>
          <w:szCs w:val="22"/>
        </w:rPr>
        <w:t>Verification of the BRSs disclosed that book reconciling items from             CYs 2012 to 2019 totaling P59.681 million were already recorded in            CY 2020, composing of 71 adjusting entries, as summarized in Table 11.</w:t>
      </w:r>
    </w:p>
    <w:p>
      <w:pPr>
        <w:pStyle w:val="ListParagraph"/>
        <w:ind w:left="1440"/>
        <w:contextualSpacing/>
        <w:jc w:val="both"/>
        <w:rPr>
          <w:rFonts w:ascii="Arial" w:hAnsi="Arial" w:cs="Arial"/>
          <w:bCs/>
          <w:sz w:val="22"/>
          <w:szCs w:val="22"/>
        </w:rPr>
      </w:pPr>
    </w:p>
    <w:p>
      <w:pPr>
        <w:pStyle w:val="ListParagraph"/>
        <w:ind w:left="709"/>
        <w:contextualSpacing/>
        <w:jc w:val="center"/>
        <w:rPr>
          <w:rFonts w:ascii="Arial" w:hAnsi="Arial" w:cs="Arial"/>
          <w:b/>
          <w:bCs/>
          <w:sz w:val="20"/>
          <w:szCs w:val="20"/>
        </w:rPr>
      </w:pPr>
      <w:r>
        <w:rPr>
          <w:rFonts w:ascii="Arial" w:hAnsi="Arial" w:cs="Arial"/>
          <w:b/>
          <w:bCs/>
          <w:sz w:val="20"/>
          <w:szCs w:val="20"/>
        </w:rPr>
        <w:t xml:space="preserve">Table 11 – Summary of Adjusted Book Reconciling Items Without </w:t>
      </w:r>
    </w:p>
    <w:p>
      <w:pPr>
        <w:pStyle w:val="ListParagraph"/>
        <w:ind w:left="709"/>
        <w:contextualSpacing/>
        <w:jc w:val="center"/>
        <w:rPr>
          <w:rFonts w:ascii="Arial" w:hAnsi="Arial" w:cs="Arial"/>
          <w:b/>
          <w:bCs/>
          <w:sz w:val="20"/>
          <w:szCs w:val="20"/>
        </w:rPr>
      </w:pPr>
      <w:r>
        <w:rPr>
          <w:rFonts w:ascii="Arial" w:hAnsi="Arial" w:cs="Arial"/>
          <w:b/>
          <w:bCs/>
          <w:sz w:val="20"/>
          <w:szCs w:val="20"/>
        </w:rPr>
        <w:t>Supporting Documents</w:t>
      </w:r>
    </w:p>
    <w:p>
      <w:pPr>
        <w:pStyle w:val="ListParagraph"/>
        <w:ind w:left="709"/>
        <w:contextualSpacing/>
        <w:jc w:val="center"/>
        <w:rPr>
          <w:rFonts w:ascii="Arial" w:hAnsi="Arial" w:cs="Arial"/>
          <w:b/>
          <w:bCs/>
          <w:sz w:val="20"/>
          <w:szCs w:val="20"/>
        </w:rPr>
      </w:pPr>
    </w:p>
    <w:tbl>
      <w:tblPr>
        <w:tblW w:w="7900" w:type="dxa"/>
        <w:tblInd w:w="709" w:type="dxa"/>
        <w:tblLook w:val="04A0" w:firstRow="1" w:lastRow="0" w:firstColumn="1" w:lastColumn="0" w:noHBand="0" w:noVBand="1"/>
      </w:tblPr>
      <w:tblGrid>
        <w:gridCol w:w="4961"/>
        <w:gridCol w:w="1418"/>
        <w:gridCol w:w="1521"/>
      </w:tblGrid>
      <w:tr>
        <w:trPr>
          <w:trHeight w:val="260"/>
        </w:trPr>
        <w:tc>
          <w:tcPr>
            <w:tcW w:w="4961" w:type="dxa"/>
            <w:tcBorders>
              <w:top w:val="single" w:sz="4" w:space="0" w:color="auto"/>
              <w:bottom w:val="single" w:sz="4" w:space="0" w:color="auto"/>
            </w:tcBorders>
            <w:shd w:val="clear" w:color="auto" w:fill="auto"/>
            <w:vAlign w:val="bottom"/>
          </w:tcPr>
          <w:p>
            <w:pPr>
              <w:spacing w:after="0" w:line="240" w:lineRule="auto"/>
              <w:ind w:left="-100"/>
              <w:jc w:val="center"/>
              <w:rPr>
                <w:rFonts w:ascii="Arial Narrow" w:hAnsi="Arial Narrow" w:cs="Arial"/>
                <w:b/>
                <w:color w:val="000000" w:themeColor="text1"/>
                <w:sz w:val="20"/>
                <w:szCs w:val="20"/>
              </w:rPr>
            </w:pPr>
          </w:p>
          <w:p>
            <w:pPr>
              <w:spacing w:after="0" w:line="240" w:lineRule="auto"/>
              <w:ind w:left="-100"/>
              <w:rPr>
                <w:rFonts w:ascii="Arial Narrow" w:hAnsi="Arial Narrow" w:cs="Arial"/>
                <w:b/>
                <w:color w:val="000000" w:themeColor="text1"/>
                <w:sz w:val="20"/>
                <w:szCs w:val="20"/>
              </w:rPr>
            </w:pPr>
            <w:r>
              <w:rPr>
                <w:rFonts w:ascii="Arial Narrow" w:hAnsi="Arial Narrow" w:cs="Arial"/>
                <w:b/>
                <w:color w:val="000000" w:themeColor="text1"/>
                <w:sz w:val="20"/>
                <w:szCs w:val="20"/>
              </w:rPr>
              <w:t>Particulars</w:t>
            </w:r>
          </w:p>
        </w:tc>
        <w:tc>
          <w:tcPr>
            <w:tcW w:w="1418" w:type="dxa"/>
            <w:tcBorders>
              <w:top w:val="single" w:sz="4" w:space="0" w:color="auto"/>
              <w:bottom w:val="single" w:sz="4" w:space="0" w:color="auto"/>
            </w:tcBorders>
            <w:shd w:val="clear" w:color="auto" w:fill="auto"/>
            <w:vAlign w:val="bottom"/>
          </w:tcPr>
          <w:p>
            <w:pPr>
              <w:spacing w:after="0" w:line="240" w:lineRule="auto"/>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Total No. of Adjustments</w:t>
            </w:r>
          </w:p>
        </w:tc>
        <w:tc>
          <w:tcPr>
            <w:tcW w:w="1521" w:type="dxa"/>
            <w:tcBorders>
              <w:top w:val="single" w:sz="4" w:space="0" w:color="auto"/>
              <w:bottom w:val="single" w:sz="4" w:space="0" w:color="auto"/>
            </w:tcBorders>
            <w:vAlign w:val="bottom"/>
          </w:tcPr>
          <w:p>
            <w:pPr>
              <w:spacing w:after="0" w:line="240" w:lineRule="auto"/>
              <w:ind w:right="-11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Amount Adjusted</w:t>
            </w:r>
          </w:p>
        </w:tc>
      </w:tr>
      <w:tr>
        <w:tc>
          <w:tcPr>
            <w:tcW w:w="4961" w:type="dxa"/>
            <w:tcBorders>
              <w:top w:val="single" w:sz="4" w:space="0" w:color="auto"/>
            </w:tcBorders>
            <w:shd w:val="clear" w:color="auto" w:fill="auto"/>
          </w:tcPr>
          <w:p>
            <w:pPr>
              <w:spacing w:after="0" w:line="240" w:lineRule="auto"/>
              <w:ind w:left="179" w:hanging="284"/>
              <w:jc w:val="both"/>
              <w:rPr>
                <w:rFonts w:ascii="Arial Narrow" w:hAnsi="Arial Narrow" w:cs="Arial"/>
                <w:bCs/>
                <w:color w:val="000000" w:themeColor="text1"/>
                <w:sz w:val="20"/>
                <w:szCs w:val="20"/>
              </w:rPr>
            </w:pPr>
            <w:r>
              <w:rPr>
                <w:rFonts w:ascii="Arial Narrow" w:hAnsi="Arial Narrow" w:cs="Arial"/>
                <w:bCs/>
                <w:color w:val="000000" w:themeColor="text1"/>
                <w:sz w:val="20"/>
                <w:szCs w:val="20"/>
              </w:rPr>
              <w:t>JEVs with no attachment/supporting documents (including branch adjustments)</w:t>
            </w:r>
          </w:p>
        </w:tc>
        <w:tc>
          <w:tcPr>
            <w:tcW w:w="1418" w:type="dxa"/>
            <w:tcBorders>
              <w:top w:val="single" w:sz="4" w:space="0" w:color="auto"/>
            </w:tcBorders>
            <w:shd w:val="clear" w:color="auto" w:fill="auto"/>
            <w:vAlign w:val="bottom"/>
          </w:tcPr>
          <w:p>
            <w:pPr>
              <w:spacing w:after="0" w:line="240" w:lineRule="auto"/>
              <w:jc w:val="center"/>
              <w:rPr>
                <w:rFonts w:ascii="Arial Narrow" w:hAnsi="Arial Narrow" w:cs="Arial"/>
                <w:bCs/>
                <w:color w:val="000000" w:themeColor="text1"/>
                <w:sz w:val="20"/>
                <w:szCs w:val="20"/>
              </w:rPr>
            </w:pPr>
            <w:r>
              <w:rPr>
                <w:rFonts w:ascii="Arial Narrow" w:hAnsi="Arial Narrow" w:cs="Arial"/>
                <w:bCs/>
                <w:color w:val="000000" w:themeColor="text1"/>
                <w:sz w:val="20"/>
                <w:szCs w:val="20"/>
              </w:rPr>
              <w:t>42</w:t>
            </w:r>
          </w:p>
        </w:tc>
        <w:tc>
          <w:tcPr>
            <w:tcW w:w="1521" w:type="dxa"/>
            <w:tcBorders>
              <w:top w:val="single" w:sz="4" w:space="0" w:color="auto"/>
            </w:tcBorders>
            <w:vAlign w:val="bottom"/>
          </w:tcPr>
          <w:p>
            <w:pPr>
              <w:spacing w:after="0" w:line="240" w:lineRule="auto"/>
              <w:ind w:right="-110"/>
              <w:jc w:val="right"/>
              <w:rPr>
                <w:rFonts w:ascii="Arial Narrow" w:hAnsi="Arial Narrow" w:cs="Arial"/>
                <w:bCs/>
                <w:color w:val="000000" w:themeColor="text1"/>
                <w:sz w:val="20"/>
                <w:szCs w:val="20"/>
              </w:rPr>
            </w:pPr>
            <w:r>
              <w:rPr>
                <w:rFonts w:ascii="Arial Narrow" w:hAnsi="Arial Narrow" w:cs="Arial"/>
                <w:bCs/>
                <w:color w:val="000000" w:themeColor="text1"/>
                <w:sz w:val="20"/>
                <w:szCs w:val="20"/>
              </w:rPr>
              <w:t>P55,193,583.30</w:t>
            </w:r>
          </w:p>
        </w:tc>
      </w:tr>
      <w:tr>
        <w:tc>
          <w:tcPr>
            <w:tcW w:w="4961" w:type="dxa"/>
            <w:shd w:val="clear" w:color="auto" w:fill="auto"/>
          </w:tcPr>
          <w:p>
            <w:pPr>
              <w:spacing w:after="0" w:line="240" w:lineRule="auto"/>
              <w:ind w:left="179" w:hanging="284"/>
              <w:jc w:val="both"/>
              <w:rPr>
                <w:rFonts w:ascii="Arial Narrow" w:hAnsi="Arial Narrow" w:cs="Arial"/>
                <w:bCs/>
                <w:color w:val="000000" w:themeColor="text1"/>
                <w:sz w:val="20"/>
                <w:szCs w:val="20"/>
              </w:rPr>
            </w:pPr>
            <w:r>
              <w:rPr>
                <w:rFonts w:ascii="Arial Narrow" w:hAnsi="Arial Narrow" w:cs="Arial"/>
                <w:bCs/>
                <w:color w:val="000000" w:themeColor="text1"/>
                <w:sz w:val="20"/>
                <w:szCs w:val="20"/>
              </w:rPr>
              <w:t>JEVs  with no supporting documents (original copy of JEV  not submitted; verified from soft copy)</w:t>
            </w:r>
          </w:p>
        </w:tc>
        <w:tc>
          <w:tcPr>
            <w:tcW w:w="1418" w:type="dxa"/>
            <w:shd w:val="clear" w:color="auto" w:fill="auto"/>
            <w:vAlign w:val="bottom"/>
          </w:tcPr>
          <w:p>
            <w:pPr>
              <w:spacing w:after="0" w:line="240" w:lineRule="auto"/>
              <w:jc w:val="center"/>
              <w:rPr>
                <w:rFonts w:ascii="Arial Narrow" w:hAnsi="Arial Narrow" w:cs="Arial"/>
                <w:bCs/>
                <w:color w:val="000000" w:themeColor="text1"/>
                <w:sz w:val="20"/>
                <w:szCs w:val="20"/>
              </w:rPr>
            </w:pPr>
            <w:r>
              <w:rPr>
                <w:rFonts w:ascii="Arial Narrow" w:hAnsi="Arial Narrow" w:cs="Arial"/>
                <w:bCs/>
                <w:color w:val="000000" w:themeColor="text1"/>
                <w:sz w:val="20"/>
                <w:szCs w:val="20"/>
              </w:rPr>
              <w:t>8</w:t>
            </w:r>
          </w:p>
        </w:tc>
        <w:tc>
          <w:tcPr>
            <w:tcW w:w="1521" w:type="dxa"/>
            <w:vAlign w:val="bottom"/>
          </w:tcPr>
          <w:p>
            <w:pPr>
              <w:spacing w:after="0" w:line="240" w:lineRule="auto"/>
              <w:ind w:right="-110"/>
              <w:jc w:val="right"/>
              <w:rPr>
                <w:rFonts w:ascii="Arial Narrow" w:hAnsi="Arial Narrow" w:cs="Arial"/>
                <w:bCs/>
                <w:color w:val="000000" w:themeColor="text1"/>
                <w:sz w:val="20"/>
                <w:szCs w:val="20"/>
              </w:rPr>
            </w:pPr>
            <w:r>
              <w:rPr>
                <w:rFonts w:ascii="Arial Narrow" w:hAnsi="Arial Narrow" w:cs="Arial"/>
                <w:bCs/>
                <w:color w:val="000000" w:themeColor="text1"/>
                <w:sz w:val="20"/>
                <w:szCs w:val="20"/>
              </w:rPr>
              <w:t>11,213,250.28</w:t>
            </w:r>
          </w:p>
        </w:tc>
      </w:tr>
      <w:tr>
        <w:tc>
          <w:tcPr>
            <w:tcW w:w="4961" w:type="dxa"/>
            <w:tcBorders>
              <w:bottom w:val="single" w:sz="4" w:space="0" w:color="auto"/>
            </w:tcBorders>
            <w:shd w:val="clear" w:color="auto" w:fill="auto"/>
          </w:tcPr>
          <w:p>
            <w:pPr>
              <w:spacing w:after="0" w:line="240" w:lineRule="auto"/>
              <w:ind w:left="-100"/>
              <w:jc w:val="both"/>
              <w:rPr>
                <w:rFonts w:ascii="Arial Narrow" w:hAnsi="Arial Narrow" w:cs="Arial"/>
                <w:bCs/>
                <w:color w:val="000000" w:themeColor="text1"/>
                <w:sz w:val="20"/>
                <w:szCs w:val="20"/>
              </w:rPr>
            </w:pPr>
            <w:r>
              <w:rPr>
                <w:rFonts w:ascii="Arial Narrow" w:hAnsi="Arial Narrow" w:cs="Arial"/>
                <w:bCs/>
                <w:color w:val="000000" w:themeColor="text1"/>
                <w:sz w:val="20"/>
                <w:szCs w:val="20"/>
              </w:rPr>
              <w:t>JEVs with incomplete attachments</w:t>
            </w:r>
          </w:p>
        </w:tc>
        <w:tc>
          <w:tcPr>
            <w:tcW w:w="1418" w:type="dxa"/>
            <w:tcBorders>
              <w:bottom w:val="single" w:sz="4" w:space="0" w:color="auto"/>
            </w:tcBorders>
            <w:shd w:val="clear" w:color="auto" w:fill="auto"/>
          </w:tcPr>
          <w:p>
            <w:pPr>
              <w:spacing w:after="0" w:line="240" w:lineRule="auto"/>
              <w:jc w:val="center"/>
              <w:rPr>
                <w:rFonts w:ascii="Arial Narrow" w:hAnsi="Arial Narrow" w:cs="Arial"/>
                <w:bCs/>
                <w:color w:val="000000" w:themeColor="text1"/>
                <w:sz w:val="20"/>
                <w:szCs w:val="20"/>
              </w:rPr>
            </w:pPr>
            <w:r>
              <w:rPr>
                <w:rFonts w:ascii="Arial Narrow" w:hAnsi="Arial Narrow" w:cs="Arial"/>
                <w:bCs/>
                <w:color w:val="000000" w:themeColor="text1"/>
                <w:sz w:val="20"/>
                <w:szCs w:val="20"/>
              </w:rPr>
              <w:t>21</w:t>
            </w:r>
          </w:p>
        </w:tc>
        <w:tc>
          <w:tcPr>
            <w:tcW w:w="1521" w:type="dxa"/>
            <w:tcBorders>
              <w:bottom w:val="single" w:sz="4" w:space="0" w:color="auto"/>
            </w:tcBorders>
          </w:tcPr>
          <w:p>
            <w:pPr>
              <w:spacing w:after="0" w:line="240" w:lineRule="auto"/>
              <w:ind w:right="-110"/>
              <w:jc w:val="right"/>
              <w:rPr>
                <w:rFonts w:ascii="Arial Narrow" w:hAnsi="Arial Narrow" w:cs="Arial"/>
                <w:bCs/>
                <w:color w:val="000000" w:themeColor="text1"/>
                <w:sz w:val="20"/>
                <w:szCs w:val="20"/>
              </w:rPr>
            </w:pPr>
            <w:r>
              <w:rPr>
                <w:rFonts w:ascii="Arial Narrow" w:hAnsi="Arial Narrow" w:cs="Arial"/>
                <w:bCs/>
                <w:color w:val="000000" w:themeColor="text1"/>
                <w:sz w:val="20"/>
                <w:szCs w:val="20"/>
              </w:rPr>
              <w:t>(6,725,685.51)</w:t>
            </w:r>
          </w:p>
        </w:tc>
      </w:tr>
      <w:tr>
        <w:tc>
          <w:tcPr>
            <w:tcW w:w="4961" w:type="dxa"/>
            <w:tcBorders>
              <w:top w:val="single" w:sz="4" w:space="0" w:color="auto"/>
              <w:bottom w:val="double" w:sz="4" w:space="0" w:color="auto"/>
            </w:tcBorders>
            <w:shd w:val="clear" w:color="auto" w:fill="auto"/>
          </w:tcPr>
          <w:p>
            <w:pPr>
              <w:spacing w:after="0" w:line="240" w:lineRule="auto"/>
              <w:ind w:left="-100"/>
              <w:jc w:val="both"/>
              <w:rPr>
                <w:rFonts w:ascii="Arial Narrow" w:hAnsi="Arial Narrow" w:cs="Arial"/>
                <w:b/>
                <w:bCs/>
                <w:color w:val="000000" w:themeColor="text1"/>
                <w:sz w:val="20"/>
                <w:szCs w:val="20"/>
              </w:rPr>
            </w:pPr>
            <w:r>
              <w:rPr>
                <w:rFonts w:ascii="Arial Narrow" w:hAnsi="Arial Narrow" w:cs="Arial"/>
                <w:b/>
                <w:bCs/>
                <w:color w:val="000000" w:themeColor="text1"/>
                <w:sz w:val="20"/>
                <w:szCs w:val="20"/>
              </w:rPr>
              <w:t>Total</w:t>
            </w:r>
          </w:p>
        </w:tc>
        <w:tc>
          <w:tcPr>
            <w:tcW w:w="1418" w:type="dxa"/>
            <w:tcBorders>
              <w:top w:val="single" w:sz="4" w:space="0" w:color="auto"/>
              <w:bottom w:val="double" w:sz="4" w:space="0" w:color="auto"/>
            </w:tcBorders>
            <w:shd w:val="clear" w:color="auto" w:fill="auto"/>
          </w:tcPr>
          <w:p>
            <w:pPr>
              <w:spacing w:after="0" w:line="240" w:lineRule="auto"/>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71</w:t>
            </w:r>
          </w:p>
        </w:tc>
        <w:tc>
          <w:tcPr>
            <w:tcW w:w="1521" w:type="dxa"/>
            <w:tcBorders>
              <w:top w:val="single" w:sz="4" w:space="0" w:color="auto"/>
              <w:bottom w:val="double" w:sz="4" w:space="0" w:color="auto"/>
            </w:tcBorders>
          </w:tcPr>
          <w:p>
            <w:pPr>
              <w:spacing w:after="0" w:line="240" w:lineRule="auto"/>
              <w:ind w:right="-110"/>
              <w:jc w:val="right"/>
              <w:rPr>
                <w:rFonts w:ascii="Arial Narrow" w:hAnsi="Arial Narrow" w:cs="Arial"/>
                <w:b/>
                <w:color w:val="000000" w:themeColor="text1"/>
                <w:sz w:val="20"/>
                <w:szCs w:val="20"/>
              </w:rPr>
            </w:pPr>
            <w:r>
              <w:rPr>
                <w:rFonts w:ascii="Arial Narrow" w:hAnsi="Arial Narrow" w:cs="Arial"/>
                <w:b/>
                <w:color w:val="000000" w:themeColor="text1"/>
                <w:sz w:val="20"/>
                <w:szCs w:val="20"/>
              </w:rPr>
              <w:t>P59,681,148.07</w:t>
            </w:r>
          </w:p>
        </w:tc>
      </w:tr>
    </w:tbl>
    <w:p>
      <w:pPr>
        <w:pStyle w:val="ListParagraph"/>
        <w:ind w:left="1440"/>
        <w:contextualSpacing/>
        <w:jc w:val="both"/>
        <w:rPr>
          <w:rFonts w:ascii="Arial" w:eastAsia="Calibri" w:hAnsi="Arial" w:cs="Arial"/>
          <w:sz w:val="22"/>
          <w:szCs w:val="22"/>
        </w:rPr>
      </w:pPr>
    </w:p>
    <w:p>
      <w:pPr>
        <w:pStyle w:val="ListParagraph"/>
        <w:numPr>
          <w:ilvl w:val="1"/>
          <w:numId w:val="17"/>
        </w:numPr>
        <w:ind w:left="1418" w:hanging="709"/>
        <w:jc w:val="both"/>
        <w:rPr>
          <w:rFonts w:ascii="Arial" w:eastAsia="Calibri" w:hAnsi="Arial" w:cs="Arial"/>
          <w:sz w:val="22"/>
          <w:szCs w:val="22"/>
        </w:rPr>
      </w:pPr>
      <w:r>
        <w:rPr>
          <w:rFonts w:ascii="Arial" w:hAnsi="Arial" w:cs="Arial"/>
          <w:bCs/>
          <w:sz w:val="22"/>
          <w:szCs w:val="22"/>
        </w:rPr>
        <w:t>Further verification, however, disclosed that the subject JEVs had incomplete and/or no documents at all to support the adjustments made amounting to P59.681 million, which was not in accordance with the above-stated requirement of the GAM, Volume II.</w:t>
      </w:r>
    </w:p>
    <w:p>
      <w:pPr>
        <w:pStyle w:val="ListParagraph"/>
        <w:ind w:left="1440"/>
        <w:contextualSpacing/>
        <w:jc w:val="both"/>
        <w:rPr>
          <w:rFonts w:ascii="Arial" w:eastAsia="Calibri" w:hAnsi="Arial" w:cs="Arial"/>
          <w:sz w:val="22"/>
          <w:szCs w:val="22"/>
        </w:rPr>
      </w:pPr>
    </w:p>
    <w:p>
      <w:pPr>
        <w:pStyle w:val="NoSpacing"/>
        <w:ind w:left="720" w:right="2970"/>
        <w:jc w:val="both"/>
        <w:rPr>
          <w:rFonts w:ascii="Arial" w:hAnsi="Arial" w:cs="Arial"/>
          <w:i/>
        </w:rPr>
      </w:pPr>
      <w:r>
        <w:rPr>
          <w:rFonts w:ascii="Arial" w:hAnsi="Arial" w:cs="Arial"/>
          <w:i/>
        </w:rPr>
        <w:t>Three (3) bank accounts maintained with the different depository banks for the various PCSO Branches and Head Office, which were already closed per bank confirmation have remaining net abnormal or negative book balance of P20.418 million, which reduced the balance of the Cash in Bank account presented in the financial statements as of December 31, 2020 by the same amount</w:t>
      </w:r>
    </w:p>
    <w:p>
      <w:pPr>
        <w:pStyle w:val="NoSpacing"/>
        <w:ind w:left="720" w:right="3600"/>
        <w:jc w:val="both"/>
        <w:rPr>
          <w:rFonts w:ascii="Arial" w:hAnsi="Arial" w:cs="Arial"/>
          <w:i/>
        </w:rPr>
      </w:pPr>
    </w:p>
    <w:p>
      <w:pPr>
        <w:pStyle w:val="ListParagraph"/>
        <w:numPr>
          <w:ilvl w:val="1"/>
          <w:numId w:val="17"/>
        </w:numPr>
        <w:ind w:left="1418" w:hanging="709"/>
        <w:jc w:val="both"/>
        <w:rPr>
          <w:rFonts w:ascii="Arial" w:hAnsi="Arial" w:cs="Arial"/>
          <w:sz w:val="22"/>
          <w:szCs w:val="22"/>
        </w:rPr>
      </w:pPr>
      <w:r>
        <w:rPr>
          <w:rFonts w:ascii="Arial" w:eastAsia="Calibri" w:hAnsi="Arial" w:cs="Arial"/>
          <w:sz w:val="22"/>
          <w:szCs w:val="22"/>
        </w:rPr>
        <w:t xml:space="preserve">Examination of the Accounting records disclosed that three (3) Cash in Bank accounts for the various Branch and Head Office accounts that were already closed from CYs 2013 to 2019 per bank confirmation still have remaining negative balances in the net amount of P20.418 million, thereby </w:t>
      </w:r>
      <w:r>
        <w:rPr>
          <w:rFonts w:ascii="Arial" w:eastAsia="Calibri" w:hAnsi="Arial" w:cs="Arial"/>
          <w:sz w:val="22"/>
          <w:szCs w:val="22"/>
        </w:rPr>
        <w:lastRenderedPageBreak/>
        <w:t xml:space="preserve">understating the Cash in Bank account by the same amount.  </w:t>
      </w:r>
      <w:r>
        <w:rPr>
          <w:rFonts w:ascii="Arial" w:hAnsi="Arial" w:cs="Arial"/>
          <w:color w:val="000000"/>
          <w:sz w:val="22"/>
          <w:szCs w:val="22"/>
        </w:rPr>
        <w:t>Details presented in Table 12</w:t>
      </w:r>
      <w:r>
        <w:rPr>
          <w:rFonts w:ascii="Arial" w:hAnsi="Arial" w:cs="Arial"/>
          <w:sz w:val="22"/>
          <w:szCs w:val="22"/>
        </w:rPr>
        <w:t>.</w:t>
      </w:r>
    </w:p>
    <w:p>
      <w:pPr>
        <w:pStyle w:val="ListParagraph"/>
        <w:ind w:left="1440"/>
        <w:contextualSpacing/>
        <w:jc w:val="both"/>
        <w:rPr>
          <w:rFonts w:ascii="Arial" w:hAnsi="Arial" w:cs="Arial"/>
          <w:sz w:val="22"/>
          <w:szCs w:val="22"/>
        </w:rPr>
      </w:pPr>
    </w:p>
    <w:p>
      <w:pPr>
        <w:spacing w:after="0" w:line="240" w:lineRule="auto"/>
        <w:ind w:left="720" w:right="-241"/>
        <w:jc w:val="center"/>
        <w:rPr>
          <w:rFonts w:ascii="Arial" w:eastAsia="Calibri" w:hAnsi="Arial" w:cs="Arial"/>
          <w:b/>
          <w:sz w:val="20"/>
          <w:szCs w:val="20"/>
        </w:rPr>
      </w:pPr>
      <w:r>
        <w:rPr>
          <w:rFonts w:ascii="Arial" w:eastAsia="Calibri" w:hAnsi="Arial" w:cs="Arial"/>
          <w:b/>
          <w:sz w:val="20"/>
          <w:szCs w:val="20"/>
        </w:rPr>
        <w:t>Table 12- Closed Cash in Bank Accounts with Remaining</w:t>
      </w:r>
    </w:p>
    <w:p>
      <w:pPr>
        <w:spacing w:after="0" w:line="240" w:lineRule="auto"/>
        <w:ind w:left="720" w:right="-241"/>
        <w:jc w:val="center"/>
        <w:rPr>
          <w:rFonts w:ascii="Arial" w:eastAsia="Calibri" w:hAnsi="Arial" w:cs="Arial"/>
          <w:b/>
          <w:sz w:val="20"/>
          <w:szCs w:val="20"/>
        </w:rPr>
      </w:pPr>
      <w:r>
        <w:rPr>
          <w:rFonts w:ascii="Arial" w:eastAsia="Calibri" w:hAnsi="Arial" w:cs="Arial"/>
          <w:b/>
          <w:sz w:val="20"/>
          <w:szCs w:val="20"/>
        </w:rPr>
        <w:t>Balances per Books</w:t>
      </w:r>
    </w:p>
    <w:p>
      <w:pPr>
        <w:spacing w:after="0" w:line="240" w:lineRule="auto"/>
        <w:ind w:left="720" w:right="-241"/>
        <w:rPr>
          <w:rFonts w:ascii="Arial" w:eastAsia="Calibri" w:hAnsi="Arial" w:cs="Arial"/>
          <w:b/>
          <w:sz w:val="20"/>
          <w:szCs w:val="20"/>
        </w:rPr>
      </w:pPr>
    </w:p>
    <w:tbl>
      <w:tblPr>
        <w:tblW w:w="7785" w:type="dxa"/>
        <w:tblInd w:w="810" w:type="dxa"/>
        <w:tblLook w:val="04A0" w:firstRow="1" w:lastRow="0" w:firstColumn="1" w:lastColumn="0" w:noHBand="0" w:noVBand="1"/>
      </w:tblPr>
      <w:tblGrid>
        <w:gridCol w:w="2871"/>
        <w:gridCol w:w="1564"/>
        <w:gridCol w:w="695"/>
        <w:gridCol w:w="1171"/>
        <w:gridCol w:w="1484"/>
      </w:tblGrid>
      <w:tr>
        <w:trPr>
          <w:tblHeader/>
        </w:trPr>
        <w:tc>
          <w:tcPr>
            <w:tcW w:w="2871" w:type="dxa"/>
            <w:tcBorders>
              <w:top w:val="single" w:sz="4" w:space="0" w:color="auto"/>
              <w:bottom w:val="single" w:sz="4" w:space="0" w:color="auto"/>
            </w:tcBorders>
            <w:shd w:val="clear" w:color="auto" w:fill="auto"/>
            <w:vAlign w:val="bottom"/>
          </w:tcPr>
          <w:p>
            <w:pPr>
              <w:spacing w:after="0" w:line="240" w:lineRule="auto"/>
              <w:ind w:left="-66" w:right="-241"/>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Account</w:t>
            </w:r>
          </w:p>
        </w:tc>
        <w:tc>
          <w:tcPr>
            <w:tcW w:w="1564" w:type="dxa"/>
            <w:tcBorders>
              <w:top w:val="single" w:sz="4" w:space="0" w:color="auto"/>
              <w:bottom w:val="single" w:sz="4" w:space="0" w:color="auto"/>
            </w:tcBorders>
            <w:vAlign w:val="bottom"/>
          </w:tcPr>
          <w:p>
            <w:pPr>
              <w:spacing w:after="0" w:line="240" w:lineRule="auto"/>
              <w:ind w:left="-66" w:right="-241"/>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Account Code</w:t>
            </w:r>
          </w:p>
        </w:tc>
        <w:tc>
          <w:tcPr>
            <w:tcW w:w="1866" w:type="dxa"/>
            <w:gridSpan w:val="2"/>
            <w:tcBorders>
              <w:top w:val="single" w:sz="4" w:space="0" w:color="auto"/>
              <w:bottom w:val="single" w:sz="4" w:space="0" w:color="auto"/>
            </w:tcBorders>
            <w:vAlign w:val="bottom"/>
          </w:tcPr>
          <w:p>
            <w:pPr>
              <w:spacing w:after="0" w:line="240" w:lineRule="auto"/>
              <w:ind w:left="-66" w:right="-241"/>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Remarks</w:t>
            </w:r>
          </w:p>
        </w:tc>
        <w:tc>
          <w:tcPr>
            <w:tcW w:w="1484" w:type="dxa"/>
            <w:tcBorders>
              <w:top w:val="single" w:sz="4" w:space="0" w:color="auto"/>
              <w:bottom w:val="single" w:sz="4" w:space="0" w:color="auto"/>
            </w:tcBorders>
            <w:shd w:val="clear" w:color="auto" w:fill="auto"/>
            <w:vAlign w:val="bottom"/>
          </w:tcPr>
          <w:p>
            <w:pPr>
              <w:spacing w:after="0" w:line="240" w:lineRule="auto"/>
              <w:ind w:left="-66" w:right="-60"/>
              <w:jc w:val="right"/>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Balance</w:t>
            </w:r>
          </w:p>
        </w:tc>
      </w:tr>
      <w:tr>
        <w:trPr>
          <w:trHeight w:val="498"/>
        </w:trPr>
        <w:tc>
          <w:tcPr>
            <w:tcW w:w="2871" w:type="dxa"/>
            <w:tcBorders>
              <w:top w:val="single" w:sz="4" w:space="0" w:color="auto"/>
            </w:tcBorders>
            <w:shd w:val="clear" w:color="auto" w:fill="auto"/>
          </w:tcPr>
          <w:p>
            <w:pPr>
              <w:spacing w:after="0" w:line="240" w:lineRule="auto"/>
              <w:ind w:left="217" w:right="-241" w:hanging="283"/>
              <w:rPr>
                <w:rFonts w:ascii="Arial Narrow" w:eastAsia="Calibri" w:hAnsi="Arial Narrow" w:cs="Arial"/>
                <w:bCs/>
                <w:color w:val="000000" w:themeColor="text1"/>
                <w:sz w:val="20"/>
                <w:szCs w:val="20"/>
              </w:rPr>
            </w:pPr>
            <w:r>
              <w:rPr>
                <w:rFonts w:ascii="Arial Narrow" w:eastAsia="Calibri" w:hAnsi="Arial Narrow" w:cs="Arial"/>
                <w:bCs/>
                <w:color w:val="000000" w:themeColor="text1"/>
                <w:sz w:val="20"/>
                <w:szCs w:val="20"/>
              </w:rPr>
              <w:t xml:space="preserve">Cash in Bank-Local Currency, Current Account- Branches                                                                          </w:t>
            </w:r>
          </w:p>
        </w:tc>
        <w:tc>
          <w:tcPr>
            <w:tcW w:w="1564" w:type="dxa"/>
            <w:tcBorders>
              <w:top w:val="single" w:sz="4" w:space="0" w:color="auto"/>
            </w:tcBorders>
          </w:tcPr>
          <w:p>
            <w:pPr>
              <w:spacing w:after="0" w:line="240" w:lineRule="auto"/>
              <w:ind w:left="-66"/>
              <w:rPr>
                <w:rFonts w:ascii="Arial Narrow" w:eastAsia="Calibri" w:hAnsi="Arial Narrow" w:cs="Arial"/>
                <w:bCs/>
                <w:color w:val="000000" w:themeColor="text1"/>
                <w:sz w:val="20"/>
                <w:szCs w:val="20"/>
              </w:rPr>
            </w:pPr>
            <w:r>
              <w:rPr>
                <w:rFonts w:ascii="Arial Narrow" w:eastAsia="Calibri" w:hAnsi="Arial Narrow" w:cs="Arial"/>
                <w:bCs/>
                <w:color w:val="000000" w:themeColor="text1"/>
                <w:sz w:val="20"/>
                <w:szCs w:val="20"/>
              </w:rPr>
              <w:t>10102020-XXXX</w:t>
            </w:r>
          </w:p>
        </w:tc>
        <w:tc>
          <w:tcPr>
            <w:tcW w:w="1866" w:type="dxa"/>
            <w:gridSpan w:val="2"/>
            <w:tcBorders>
              <w:top w:val="single" w:sz="4" w:space="0" w:color="auto"/>
            </w:tcBorders>
          </w:tcPr>
          <w:p>
            <w:pPr>
              <w:spacing w:after="0" w:line="240" w:lineRule="auto"/>
              <w:ind w:left="-66"/>
              <w:rPr>
                <w:rFonts w:ascii="Arial Narrow" w:eastAsia="Calibri" w:hAnsi="Arial Narrow" w:cs="Arial"/>
                <w:color w:val="000000" w:themeColor="text1"/>
                <w:sz w:val="20"/>
                <w:szCs w:val="20"/>
              </w:rPr>
            </w:pPr>
            <w:r>
              <w:rPr>
                <w:rFonts w:ascii="Arial Narrow" w:eastAsia="Calibri" w:hAnsi="Arial Narrow" w:cs="Arial"/>
                <w:color w:val="000000" w:themeColor="text1"/>
                <w:sz w:val="20"/>
                <w:szCs w:val="20"/>
              </w:rPr>
              <w:t xml:space="preserve">Closed Branch </w:t>
            </w:r>
          </w:p>
        </w:tc>
        <w:tc>
          <w:tcPr>
            <w:tcW w:w="1484" w:type="dxa"/>
            <w:tcBorders>
              <w:top w:val="single" w:sz="4" w:space="0" w:color="auto"/>
            </w:tcBorders>
            <w:shd w:val="clear" w:color="auto" w:fill="auto"/>
          </w:tcPr>
          <w:p>
            <w:pPr>
              <w:spacing w:after="0" w:line="240" w:lineRule="auto"/>
              <w:ind w:left="-66" w:right="-60"/>
              <w:jc w:val="right"/>
              <w:rPr>
                <w:rFonts w:ascii="Arial Narrow" w:eastAsia="Calibri" w:hAnsi="Arial Narrow" w:cs="Arial"/>
                <w:bCs/>
                <w:color w:val="000000" w:themeColor="text1"/>
                <w:sz w:val="20"/>
                <w:szCs w:val="20"/>
              </w:rPr>
            </w:pPr>
            <w:r>
              <w:rPr>
                <w:rFonts w:ascii="Arial Narrow" w:eastAsia="Calibri" w:hAnsi="Arial Narrow" w:cs="Arial"/>
                <w:bCs/>
                <w:color w:val="000000" w:themeColor="text1"/>
                <w:sz w:val="20"/>
                <w:szCs w:val="20"/>
              </w:rPr>
              <w:t>P(21,442,512.88)</w:t>
            </w:r>
          </w:p>
        </w:tc>
      </w:tr>
      <w:tr>
        <w:trPr>
          <w:trHeight w:val="304"/>
        </w:trPr>
        <w:tc>
          <w:tcPr>
            <w:tcW w:w="2871" w:type="dxa"/>
            <w:shd w:val="clear" w:color="auto" w:fill="auto"/>
          </w:tcPr>
          <w:p>
            <w:pPr>
              <w:tabs>
                <w:tab w:val="left" w:pos="3402"/>
              </w:tabs>
              <w:spacing w:after="0" w:line="240" w:lineRule="auto"/>
              <w:ind w:left="217" w:right="-241" w:hanging="283"/>
              <w:rPr>
                <w:rFonts w:ascii="Arial Narrow" w:eastAsia="Calibri" w:hAnsi="Arial Narrow" w:cs="Arial"/>
                <w:color w:val="000000" w:themeColor="text1"/>
                <w:sz w:val="20"/>
                <w:szCs w:val="20"/>
              </w:rPr>
            </w:pPr>
            <w:r>
              <w:rPr>
                <w:rFonts w:ascii="Arial Narrow" w:eastAsia="Calibri" w:hAnsi="Arial Narrow" w:cs="Arial"/>
                <w:color w:val="000000" w:themeColor="text1"/>
                <w:sz w:val="20"/>
                <w:szCs w:val="20"/>
              </w:rPr>
              <w:t>Cash in Bank-Local Currency, Current Account- Prize Fund (New)</w:t>
            </w:r>
          </w:p>
        </w:tc>
        <w:tc>
          <w:tcPr>
            <w:tcW w:w="1564" w:type="dxa"/>
          </w:tcPr>
          <w:p>
            <w:pPr>
              <w:spacing w:after="0" w:line="240" w:lineRule="auto"/>
              <w:ind w:left="-66"/>
              <w:rPr>
                <w:rFonts w:ascii="Arial Narrow" w:eastAsia="Calibri" w:hAnsi="Arial Narrow" w:cs="Arial"/>
                <w:color w:val="000000" w:themeColor="text1"/>
                <w:sz w:val="20"/>
                <w:szCs w:val="20"/>
              </w:rPr>
            </w:pPr>
            <w:r>
              <w:rPr>
                <w:rFonts w:ascii="Arial Narrow" w:eastAsia="Calibri" w:hAnsi="Arial Narrow" w:cs="Arial"/>
                <w:color w:val="000000" w:themeColor="text1"/>
                <w:sz w:val="20"/>
                <w:szCs w:val="20"/>
              </w:rPr>
              <w:t>10102020-XXXX</w:t>
            </w:r>
          </w:p>
        </w:tc>
        <w:tc>
          <w:tcPr>
            <w:tcW w:w="1866" w:type="dxa"/>
            <w:gridSpan w:val="2"/>
          </w:tcPr>
          <w:p>
            <w:pPr>
              <w:spacing w:after="0" w:line="240" w:lineRule="auto"/>
              <w:ind w:left="-66"/>
              <w:rPr>
                <w:rFonts w:ascii="Arial Narrow" w:eastAsia="Calibri" w:hAnsi="Arial Narrow" w:cs="Arial"/>
                <w:color w:val="000000" w:themeColor="text1"/>
                <w:sz w:val="20"/>
                <w:szCs w:val="20"/>
              </w:rPr>
            </w:pPr>
            <w:r>
              <w:rPr>
                <w:rFonts w:ascii="Arial Narrow" w:eastAsia="Calibri" w:hAnsi="Arial Narrow" w:cs="Arial"/>
                <w:color w:val="000000" w:themeColor="text1"/>
                <w:sz w:val="20"/>
                <w:szCs w:val="20"/>
              </w:rPr>
              <w:t>Closed</w:t>
            </w:r>
          </w:p>
        </w:tc>
        <w:tc>
          <w:tcPr>
            <w:tcW w:w="1484" w:type="dxa"/>
            <w:shd w:val="clear" w:color="auto" w:fill="auto"/>
          </w:tcPr>
          <w:p>
            <w:pPr>
              <w:spacing w:after="0" w:line="240" w:lineRule="auto"/>
              <w:ind w:left="-66" w:right="-60"/>
              <w:jc w:val="right"/>
              <w:rPr>
                <w:rFonts w:ascii="Arial Narrow" w:eastAsia="Calibri" w:hAnsi="Arial Narrow" w:cs="Arial"/>
                <w:color w:val="000000" w:themeColor="text1"/>
                <w:sz w:val="20"/>
                <w:szCs w:val="20"/>
              </w:rPr>
            </w:pPr>
            <w:r>
              <w:rPr>
                <w:rFonts w:ascii="Arial Narrow" w:eastAsia="Calibri" w:hAnsi="Arial Narrow" w:cs="Arial"/>
                <w:color w:val="000000" w:themeColor="text1"/>
                <w:sz w:val="20"/>
                <w:szCs w:val="20"/>
              </w:rPr>
              <w:t>(375,763.76)</w:t>
            </w:r>
          </w:p>
        </w:tc>
      </w:tr>
      <w:tr>
        <w:trPr>
          <w:trHeight w:val="395"/>
        </w:trPr>
        <w:tc>
          <w:tcPr>
            <w:tcW w:w="2871" w:type="dxa"/>
            <w:tcBorders>
              <w:bottom w:val="single" w:sz="4" w:space="0" w:color="auto"/>
            </w:tcBorders>
            <w:shd w:val="clear" w:color="auto" w:fill="auto"/>
          </w:tcPr>
          <w:p>
            <w:pPr>
              <w:spacing w:after="0" w:line="240" w:lineRule="auto"/>
              <w:ind w:left="217" w:right="-241" w:hanging="283"/>
              <w:rPr>
                <w:rFonts w:ascii="Arial Narrow" w:eastAsia="Calibri" w:hAnsi="Arial Narrow" w:cs="Arial"/>
                <w:color w:val="000000" w:themeColor="text1"/>
                <w:sz w:val="20"/>
                <w:szCs w:val="20"/>
              </w:rPr>
            </w:pPr>
            <w:r>
              <w:rPr>
                <w:rFonts w:ascii="Arial Narrow" w:eastAsia="Calibri" w:hAnsi="Arial Narrow" w:cs="Arial"/>
                <w:color w:val="000000" w:themeColor="text1"/>
                <w:sz w:val="20"/>
                <w:szCs w:val="20"/>
              </w:rPr>
              <w:t>Cash in Bank-Local Currency, Current Account- Charity Fund (New)</w:t>
            </w:r>
          </w:p>
        </w:tc>
        <w:tc>
          <w:tcPr>
            <w:tcW w:w="1564" w:type="dxa"/>
            <w:tcBorders>
              <w:bottom w:val="single" w:sz="4" w:space="0" w:color="auto"/>
            </w:tcBorders>
          </w:tcPr>
          <w:p>
            <w:pPr>
              <w:spacing w:after="0" w:line="240" w:lineRule="auto"/>
              <w:ind w:left="-66"/>
              <w:rPr>
                <w:rFonts w:ascii="Arial Narrow" w:eastAsia="Calibri" w:hAnsi="Arial Narrow" w:cs="Arial"/>
                <w:color w:val="000000" w:themeColor="text1"/>
                <w:sz w:val="20"/>
                <w:szCs w:val="20"/>
              </w:rPr>
            </w:pPr>
            <w:r>
              <w:rPr>
                <w:rFonts w:ascii="Arial Narrow" w:eastAsia="Calibri" w:hAnsi="Arial Narrow" w:cs="Arial"/>
                <w:color w:val="000000" w:themeColor="text1"/>
                <w:sz w:val="20"/>
                <w:szCs w:val="20"/>
              </w:rPr>
              <w:t>10102020-XXXX</w:t>
            </w:r>
          </w:p>
        </w:tc>
        <w:tc>
          <w:tcPr>
            <w:tcW w:w="1866" w:type="dxa"/>
            <w:gridSpan w:val="2"/>
            <w:tcBorders>
              <w:bottom w:val="single" w:sz="4" w:space="0" w:color="auto"/>
            </w:tcBorders>
          </w:tcPr>
          <w:p>
            <w:pPr>
              <w:spacing w:after="0" w:line="240" w:lineRule="auto"/>
              <w:ind w:left="-66"/>
              <w:rPr>
                <w:rFonts w:ascii="Arial Narrow" w:eastAsia="Calibri" w:hAnsi="Arial Narrow" w:cs="Arial"/>
                <w:color w:val="000000" w:themeColor="text1"/>
                <w:sz w:val="20"/>
                <w:szCs w:val="20"/>
              </w:rPr>
            </w:pPr>
            <w:r>
              <w:rPr>
                <w:rFonts w:ascii="Arial Narrow" w:eastAsia="Calibri" w:hAnsi="Arial Narrow" w:cs="Arial"/>
                <w:color w:val="000000" w:themeColor="text1"/>
                <w:sz w:val="20"/>
                <w:szCs w:val="20"/>
              </w:rPr>
              <w:t>Closed</w:t>
            </w:r>
          </w:p>
        </w:tc>
        <w:tc>
          <w:tcPr>
            <w:tcW w:w="1484" w:type="dxa"/>
            <w:tcBorders>
              <w:bottom w:val="single" w:sz="4" w:space="0" w:color="auto"/>
            </w:tcBorders>
            <w:shd w:val="clear" w:color="auto" w:fill="auto"/>
          </w:tcPr>
          <w:p>
            <w:pPr>
              <w:spacing w:after="0" w:line="240" w:lineRule="auto"/>
              <w:ind w:left="-66" w:right="-60"/>
              <w:jc w:val="right"/>
              <w:rPr>
                <w:rFonts w:ascii="Arial Narrow" w:eastAsia="Calibri" w:hAnsi="Arial Narrow" w:cs="Arial"/>
                <w:color w:val="000000" w:themeColor="text1"/>
                <w:sz w:val="20"/>
                <w:szCs w:val="20"/>
              </w:rPr>
            </w:pPr>
            <w:r>
              <w:rPr>
                <w:rFonts w:ascii="Arial Narrow" w:eastAsia="Calibri" w:hAnsi="Arial Narrow" w:cs="Arial"/>
                <w:color w:val="000000" w:themeColor="text1"/>
                <w:sz w:val="20"/>
                <w:szCs w:val="20"/>
              </w:rPr>
              <w:t>1,400,000.00</w:t>
            </w:r>
          </w:p>
        </w:tc>
      </w:tr>
      <w:tr>
        <w:trPr>
          <w:trHeight w:val="197"/>
        </w:trPr>
        <w:tc>
          <w:tcPr>
            <w:tcW w:w="2871" w:type="dxa"/>
            <w:tcBorders>
              <w:top w:val="single" w:sz="4" w:space="0" w:color="auto"/>
              <w:bottom w:val="double" w:sz="4" w:space="0" w:color="auto"/>
            </w:tcBorders>
            <w:shd w:val="clear" w:color="auto" w:fill="auto"/>
            <w:vAlign w:val="bottom"/>
          </w:tcPr>
          <w:p>
            <w:pPr>
              <w:spacing w:after="0" w:line="240" w:lineRule="auto"/>
              <w:ind w:left="-66" w:right="-241"/>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 xml:space="preserve"> Total </w:t>
            </w:r>
          </w:p>
        </w:tc>
        <w:tc>
          <w:tcPr>
            <w:tcW w:w="2259" w:type="dxa"/>
            <w:gridSpan w:val="2"/>
            <w:tcBorders>
              <w:top w:val="single" w:sz="4" w:space="0" w:color="auto"/>
              <w:bottom w:val="double" w:sz="4" w:space="0" w:color="auto"/>
            </w:tcBorders>
            <w:vAlign w:val="bottom"/>
          </w:tcPr>
          <w:p>
            <w:pPr>
              <w:spacing w:after="0" w:line="240" w:lineRule="auto"/>
              <w:ind w:left="-66"/>
              <w:jc w:val="center"/>
              <w:rPr>
                <w:rFonts w:ascii="Arial Narrow" w:eastAsia="Calibri" w:hAnsi="Arial Narrow" w:cs="Arial"/>
                <w:b/>
                <w:color w:val="000000" w:themeColor="text1"/>
                <w:sz w:val="20"/>
                <w:szCs w:val="20"/>
              </w:rPr>
            </w:pPr>
          </w:p>
        </w:tc>
        <w:tc>
          <w:tcPr>
            <w:tcW w:w="1171" w:type="dxa"/>
            <w:tcBorders>
              <w:top w:val="single" w:sz="4" w:space="0" w:color="auto"/>
              <w:bottom w:val="double" w:sz="4" w:space="0" w:color="auto"/>
            </w:tcBorders>
            <w:vAlign w:val="bottom"/>
          </w:tcPr>
          <w:p>
            <w:pPr>
              <w:spacing w:after="0" w:line="240" w:lineRule="auto"/>
              <w:ind w:left="-66"/>
              <w:rPr>
                <w:rFonts w:ascii="Arial Narrow" w:eastAsia="Calibri" w:hAnsi="Arial Narrow" w:cs="Arial"/>
                <w:b/>
                <w:color w:val="000000" w:themeColor="text1"/>
                <w:sz w:val="20"/>
                <w:szCs w:val="20"/>
              </w:rPr>
            </w:pPr>
          </w:p>
        </w:tc>
        <w:tc>
          <w:tcPr>
            <w:tcW w:w="1484" w:type="dxa"/>
            <w:tcBorders>
              <w:top w:val="single" w:sz="4" w:space="0" w:color="auto"/>
              <w:bottom w:val="double" w:sz="4" w:space="0" w:color="auto"/>
            </w:tcBorders>
            <w:shd w:val="clear" w:color="auto" w:fill="auto"/>
            <w:vAlign w:val="bottom"/>
          </w:tcPr>
          <w:p>
            <w:pPr>
              <w:spacing w:after="0" w:line="240" w:lineRule="auto"/>
              <w:ind w:left="-66" w:right="-60"/>
              <w:jc w:val="right"/>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P(20,418,276.64)</w:t>
            </w:r>
          </w:p>
        </w:tc>
      </w:tr>
    </w:tbl>
    <w:p>
      <w:pPr>
        <w:pStyle w:val="NoSpacing"/>
        <w:jc w:val="both"/>
        <w:rPr>
          <w:rFonts w:ascii="Arial" w:hAnsi="Arial" w:cs="Arial"/>
        </w:rPr>
      </w:pPr>
    </w:p>
    <w:p>
      <w:pPr>
        <w:pStyle w:val="ListParagraph"/>
        <w:numPr>
          <w:ilvl w:val="1"/>
          <w:numId w:val="17"/>
        </w:numPr>
        <w:ind w:left="1418" w:hanging="709"/>
        <w:jc w:val="both"/>
        <w:rPr>
          <w:rFonts w:ascii="Arial" w:hAnsi="Arial" w:cs="Arial"/>
          <w:sz w:val="22"/>
          <w:szCs w:val="22"/>
        </w:rPr>
      </w:pPr>
      <w:r>
        <w:rPr>
          <w:rFonts w:ascii="Arial" w:eastAsia="Calibri" w:hAnsi="Arial" w:cs="Arial"/>
          <w:sz w:val="22"/>
          <w:szCs w:val="22"/>
        </w:rPr>
        <w:t>The concerned ABD personnel informed that bank accounts of the various branches were closed in the past and new accounts were re-opened. However, the said closed accounts have remaining balances, which were consolidated into one account in the Head Office with a net negative balance of P21.443 million as of December 31, 2020.  Further verification revealed that the subject consolidated amount pertained to the unadjusted balances of the various closed accounts of 13 PCSO branches since            CY 2013</w:t>
      </w:r>
      <w:r>
        <w:rPr>
          <w:rFonts w:ascii="Arial" w:hAnsi="Arial" w:cs="Arial"/>
          <w:sz w:val="22"/>
          <w:szCs w:val="22"/>
          <w:lang w:val="en-PH" w:eastAsia="en-PH"/>
        </w:rPr>
        <w:t>.</w:t>
      </w:r>
    </w:p>
    <w:p>
      <w:pPr>
        <w:pStyle w:val="ListParagraph"/>
        <w:ind w:left="1440"/>
        <w:contextualSpacing/>
        <w:jc w:val="both"/>
        <w:rPr>
          <w:rFonts w:ascii="Arial" w:hAnsi="Arial" w:cs="Arial"/>
          <w:sz w:val="22"/>
          <w:szCs w:val="22"/>
        </w:rPr>
      </w:pPr>
    </w:p>
    <w:p>
      <w:pPr>
        <w:pStyle w:val="ListParagraph"/>
        <w:numPr>
          <w:ilvl w:val="1"/>
          <w:numId w:val="17"/>
        </w:numPr>
        <w:ind w:left="1418" w:hanging="709"/>
        <w:jc w:val="both"/>
        <w:rPr>
          <w:rFonts w:ascii="Arial" w:hAnsi="Arial" w:cs="Arial"/>
          <w:sz w:val="22"/>
          <w:szCs w:val="22"/>
        </w:rPr>
      </w:pPr>
      <w:r>
        <w:rPr>
          <w:rFonts w:ascii="Arial" w:eastAsia="Calibri" w:hAnsi="Arial" w:cs="Arial"/>
          <w:sz w:val="22"/>
          <w:szCs w:val="22"/>
        </w:rPr>
        <w:t>On the other hand, the other two bank accounts with remaining balances of P0.376 million (negative) and P1.400 million, which were verified as closed effective January 4, 2019 and September 5, 2018, respectively, were subject of prior year’s audit observation but remained unreconciled/unadjusted to date.</w:t>
      </w:r>
    </w:p>
    <w:p>
      <w:pPr>
        <w:spacing w:after="0" w:line="240" w:lineRule="auto"/>
        <w:contextualSpacing/>
        <w:jc w:val="both"/>
        <w:rPr>
          <w:rFonts w:ascii="Arial" w:hAnsi="Arial" w:cs="Arial"/>
        </w:rPr>
      </w:pPr>
    </w:p>
    <w:p>
      <w:pPr>
        <w:pStyle w:val="ListParagraph"/>
        <w:numPr>
          <w:ilvl w:val="1"/>
          <w:numId w:val="17"/>
        </w:numPr>
        <w:ind w:left="1418" w:hanging="709"/>
        <w:jc w:val="both"/>
        <w:rPr>
          <w:rFonts w:ascii="Arial" w:hAnsi="Arial" w:cs="Arial"/>
          <w:sz w:val="22"/>
          <w:szCs w:val="22"/>
        </w:rPr>
      </w:pPr>
      <w:r>
        <w:rPr>
          <w:rFonts w:ascii="Arial" w:eastAsia="Calibri" w:hAnsi="Arial" w:cs="Arial"/>
          <w:sz w:val="22"/>
          <w:szCs w:val="22"/>
        </w:rPr>
        <w:t>The abovementioned negative balances reduced the aggregate balance of the Cash and Cash Equivalents account presented in the financial statements as of December 31, 2020 by P20.418 million.</w:t>
      </w:r>
    </w:p>
    <w:p>
      <w:pPr>
        <w:pStyle w:val="ListParagraph"/>
        <w:ind w:left="1440"/>
        <w:contextualSpacing/>
        <w:jc w:val="both"/>
        <w:rPr>
          <w:rFonts w:ascii="Arial" w:eastAsia="Calibri" w:hAnsi="Arial" w:cs="Arial"/>
          <w:sz w:val="22"/>
          <w:szCs w:val="22"/>
        </w:rPr>
      </w:pPr>
    </w:p>
    <w:p>
      <w:pPr>
        <w:pStyle w:val="ListParagraph"/>
        <w:numPr>
          <w:ilvl w:val="1"/>
          <w:numId w:val="17"/>
        </w:numPr>
        <w:ind w:left="1418" w:hanging="709"/>
        <w:jc w:val="both"/>
        <w:rPr>
          <w:rFonts w:ascii="Arial" w:hAnsi="Arial" w:cs="Arial"/>
          <w:sz w:val="22"/>
          <w:szCs w:val="22"/>
        </w:rPr>
      </w:pPr>
      <w:r>
        <w:rPr>
          <w:rFonts w:ascii="Arial" w:hAnsi="Arial" w:cs="Arial"/>
          <w:sz w:val="22"/>
          <w:szCs w:val="22"/>
        </w:rPr>
        <w:t>In view of the foregoing deficiencies, the faithful representation in the financial statements of the balance of the Cash and Cash Equivalents account in the amount of P14.206 billion as of December 31, 2020 was not established as well as the affected related accounts in the financial statements.</w:t>
      </w:r>
    </w:p>
    <w:p>
      <w:pPr>
        <w:pStyle w:val="ListParagraph"/>
        <w:rPr>
          <w:rFonts w:ascii="Arial" w:hAnsi="Arial" w:cs="Arial"/>
          <w:sz w:val="22"/>
          <w:szCs w:val="22"/>
        </w:rPr>
      </w:pPr>
    </w:p>
    <w:p>
      <w:pPr>
        <w:pStyle w:val="ListParagraph"/>
        <w:numPr>
          <w:ilvl w:val="1"/>
          <w:numId w:val="17"/>
        </w:numPr>
        <w:ind w:left="1418" w:hanging="709"/>
        <w:jc w:val="both"/>
        <w:rPr>
          <w:rFonts w:ascii="Arial" w:hAnsi="Arial" w:cs="Arial"/>
          <w:b/>
          <w:sz w:val="22"/>
          <w:szCs w:val="22"/>
        </w:rPr>
      </w:pPr>
      <w:r>
        <w:rPr>
          <w:rFonts w:ascii="Arial" w:hAnsi="Arial" w:cs="Arial"/>
          <w:b/>
          <w:sz w:val="22"/>
          <w:szCs w:val="22"/>
        </w:rPr>
        <w:t>We recommended that Management instruct the concerned ABD personnel to:</w:t>
      </w:r>
    </w:p>
    <w:p>
      <w:pPr>
        <w:pStyle w:val="ListParagraph"/>
        <w:jc w:val="both"/>
        <w:rPr>
          <w:rFonts w:ascii="Arial" w:hAnsi="Arial" w:cs="Arial"/>
          <w:b/>
          <w:sz w:val="22"/>
          <w:szCs w:val="22"/>
        </w:rPr>
      </w:pPr>
    </w:p>
    <w:p>
      <w:pPr>
        <w:pStyle w:val="ListParagraph"/>
        <w:numPr>
          <w:ilvl w:val="0"/>
          <w:numId w:val="4"/>
        </w:numPr>
        <w:ind w:left="1980" w:hanging="562"/>
        <w:contextualSpacing/>
        <w:jc w:val="both"/>
        <w:rPr>
          <w:rFonts w:ascii="Arial" w:hAnsi="Arial" w:cs="Arial"/>
          <w:b/>
          <w:sz w:val="22"/>
          <w:szCs w:val="22"/>
        </w:rPr>
      </w:pPr>
      <w:r>
        <w:rPr>
          <w:rFonts w:ascii="Arial" w:hAnsi="Arial" w:cs="Arial"/>
          <w:b/>
          <w:iCs/>
          <w:sz w:val="22"/>
          <w:szCs w:val="22"/>
        </w:rPr>
        <w:t>Conduct further verification/reconciliation/analysis of the remaining long outstanding book reconciling items as well as the current year’s unrecorded fund transfers and effect the necessary adjusting entries accordingly to reconcile the balances of the Cash in Bank account with the balances per bank</w:t>
      </w:r>
      <w:r>
        <w:rPr>
          <w:rFonts w:ascii="Arial" w:hAnsi="Arial" w:cs="Arial"/>
          <w:b/>
          <w:sz w:val="22"/>
          <w:szCs w:val="22"/>
        </w:rPr>
        <w:t xml:space="preserve">;  </w:t>
      </w:r>
    </w:p>
    <w:p>
      <w:pPr>
        <w:pStyle w:val="ListParagraph"/>
        <w:ind w:left="1980" w:hanging="562"/>
        <w:contextualSpacing/>
        <w:jc w:val="both"/>
        <w:rPr>
          <w:rFonts w:ascii="Arial" w:hAnsi="Arial" w:cs="Arial"/>
          <w:b/>
          <w:sz w:val="22"/>
          <w:szCs w:val="22"/>
        </w:rPr>
      </w:pPr>
    </w:p>
    <w:p>
      <w:pPr>
        <w:pStyle w:val="ListParagraph"/>
        <w:numPr>
          <w:ilvl w:val="0"/>
          <w:numId w:val="4"/>
        </w:numPr>
        <w:ind w:left="1980" w:hanging="562"/>
        <w:contextualSpacing/>
        <w:jc w:val="both"/>
        <w:rPr>
          <w:rFonts w:ascii="Arial" w:hAnsi="Arial" w:cs="Arial"/>
          <w:b/>
          <w:sz w:val="22"/>
          <w:szCs w:val="22"/>
        </w:rPr>
      </w:pPr>
      <w:r>
        <w:rPr>
          <w:rFonts w:ascii="Arial" w:hAnsi="Arial" w:cs="Arial"/>
          <w:b/>
          <w:bCs/>
          <w:iCs/>
          <w:sz w:val="22"/>
          <w:szCs w:val="22"/>
          <w:lang w:val="en-PH" w:eastAsia="en-PH"/>
        </w:rPr>
        <w:lastRenderedPageBreak/>
        <w:t xml:space="preserve">Submit the complete supporting documents for the </w:t>
      </w:r>
      <w:r>
        <w:rPr>
          <w:rFonts w:ascii="Arial" w:hAnsi="Arial" w:cs="Arial"/>
          <w:b/>
          <w:bCs/>
          <w:iCs/>
          <w:sz w:val="22"/>
          <w:szCs w:val="22"/>
        </w:rPr>
        <w:t>P59.681 million adjustments effected on the Cash in Bank account, and  henceforth, ensure that all JEVs are properly supported with complete documentation</w:t>
      </w:r>
      <w:r>
        <w:rPr>
          <w:rFonts w:ascii="Arial" w:hAnsi="Arial" w:cs="Arial"/>
          <w:b/>
          <w:sz w:val="22"/>
          <w:szCs w:val="22"/>
          <w:lang w:val="en-PH" w:eastAsia="en-PH"/>
        </w:rPr>
        <w:t>; and</w:t>
      </w:r>
    </w:p>
    <w:p>
      <w:pPr>
        <w:pStyle w:val="ListParagraph"/>
        <w:ind w:hanging="562"/>
        <w:rPr>
          <w:rFonts w:ascii="Arial" w:eastAsia="Calibri" w:hAnsi="Arial" w:cs="Arial"/>
          <w:b/>
          <w:sz w:val="22"/>
          <w:szCs w:val="22"/>
        </w:rPr>
      </w:pPr>
    </w:p>
    <w:p>
      <w:pPr>
        <w:pStyle w:val="ListParagraph"/>
        <w:numPr>
          <w:ilvl w:val="0"/>
          <w:numId w:val="4"/>
        </w:numPr>
        <w:ind w:left="1980" w:hanging="562"/>
        <w:contextualSpacing/>
        <w:jc w:val="both"/>
        <w:rPr>
          <w:rFonts w:ascii="Arial" w:hAnsi="Arial" w:cs="Arial"/>
          <w:b/>
          <w:sz w:val="22"/>
          <w:szCs w:val="22"/>
        </w:rPr>
      </w:pPr>
      <w:r>
        <w:rPr>
          <w:rFonts w:ascii="Arial" w:hAnsi="Arial" w:cs="Arial"/>
          <w:b/>
          <w:iCs/>
          <w:sz w:val="22"/>
          <w:szCs w:val="22"/>
        </w:rPr>
        <w:t>Exert all efforts to investigate the cause/s of the remaining balances of the closed bank accounts and effect the necessary adjustments to fairly present the balance of the Cash in Bank account in the financial statements.</w:t>
      </w:r>
    </w:p>
    <w:p>
      <w:pPr>
        <w:spacing w:after="0" w:line="240" w:lineRule="auto"/>
        <w:contextualSpacing/>
        <w:jc w:val="both"/>
        <w:rPr>
          <w:rFonts w:ascii="Arial" w:hAnsi="Arial" w:cs="Arial"/>
          <w:b/>
        </w:rPr>
      </w:pPr>
    </w:p>
    <w:p>
      <w:pPr>
        <w:pStyle w:val="ListParagraph"/>
        <w:numPr>
          <w:ilvl w:val="1"/>
          <w:numId w:val="17"/>
        </w:numPr>
        <w:ind w:left="1418" w:hanging="709"/>
        <w:jc w:val="both"/>
        <w:rPr>
          <w:rFonts w:ascii="Arial" w:hAnsi="Arial" w:cs="Arial"/>
          <w:sz w:val="22"/>
          <w:szCs w:val="22"/>
        </w:rPr>
      </w:pPr>
      <w:r>
        <w:rPr>
          <w:rFonts w:ascii="Arial" w:hAnsi="Arial" w:cs="Arial"/>
          <w:sz w:val="22"/>
          <w:szCs w:val="22"/>
        </w:rPr>
        <w:t>Management submitted the following comments:</w:t>
      </w:r>
    </w:p>
    <w:p>
      <w:pPr>
        <w:pStyle w:val="ListParagraph"/>
        <w:ind w:left="1440"/>
        <w:contextualSpacing/>
        <w:jc w:val="both"/>
        <w:rPr>
          <w:rFonts w:ascii="Arial" w:hAnsi="Arial" w:cs="Arial"/>
          <w:sz w:val="22"/>
          <w:szCs w:val="22"/>
        </w:rPr>
      </w:pPr>
    </w:p>
    <w:p>
      <w:pPr>
        <w:pStyle w:val="ListParagraph"/>
        <w:numPr>
          <w:ilvl w:val="0"/>
          <w:numId w:val="13"/>
        </w:numPr>
        <w:ind w:left="1985" w:hanging="567"/>
        <w:contextualSpacing/>
        <w:jc w:val="both"/>
        <w:rPr>
          <w:rFonts w:ascii="Arial" w:hAnsi="Arial" w:cs="Arial"/>
          <w:sz w:val="22"/>
          <w:szCs w:val="22"/>
        </w:rPr>
      </w:pPr>
      <w:r>
        <w:rPr>
          <w:rFonts w:ascii="Arial" w:hAnsi="Arial" w:cs="Arial"/>
          <w:sz w:val="22"/>
          <w:szCs w:val="22"/>
          <w:lang w:val="en-PH"/>
        </w:rPr>
        <w:t xml:space="preserve">ABD recognizes that some reconciling items from 2019 downwards are not yet cleared despite efforts exerted to clear all reconciling items of previous years.  </w:t>
      </w:r>
    </w:p>
    <w:p>
      <w:pPr>
        <w:pStyle w:val="ListParagraph"/>
        <w:ind w:left="1985"/>
        <w:contextualSpacing/>
        <w:jc w:val="both"/>
        <w:rPr>
          <w:rFonts w:ascii="Arial" w:hAnsi="Arial" w:cs="Arial"/>
          <w:sz w:val="22"/>
          <w:szCs w:val="22"/>
        </w:rPr>
      </w:pPr>
    </w:p>
    <w:p>
      <w:pPr>
        <w:pStyle w:val="ListParagraph"/>
        <w:numPr>
          <w:ilvl w:val="0"/>
          <w:numId w:val="13"/>
        </w:numPr>
        <w:ind w:left="1985" w:hanging="567"/>
        <w:contextualSpacing/>
        <w:jc w:val="both"/>
        <w:rPr>
          <w:rFonts w:ascii="Arial" w:hAnsi="Arial" w:cs="Arial"/>
          <w:sz w:val="22"/>
          <w:szCs w:val="22"/>
        </w:rPr>
      </w:pPr>
      <w:r>
        <w:rPr>
          <w:rFonts w:ascii="Arial" w:hAnsi="Arial" w:cs="Arial"/>
          <w:sz w:val="22"/>
          <w:szCs w:val="22"/>
          <w:lang w:val="en-PH"/>
        </w:rPr>
        <w:t>It is, however, noted that the amount of discrepancies include outstanding checks amounting to P36.985 million for CF and P24.580 million for OF. The outstanding checks are bank reconciling items, and will clear itself, upon presentation to the bank for payment, or should be reverted back to Cash when already stale</w:t>
      </w:r>
      <w:r>
        <w:rPr>
          <w:rFonts w:ascii="Arial" w:hAnsi="Arial" w:cs="Arial"/>
          <w:sz w:val="22"/>
          <w:szCs w:val="22"/>
        </w:rPr>
        <w:t xml:space="preserve">.  </w:t>
      </w:r>
      <w:r>
        <w:rPr>
          <w:rFonts w:ascii="Arial" w:hAnsi="Arial" w:cs="Arial"/>
          <w:sz w:val="22"/>
          <w:szCs w:val="22"/>
          <w:lang w:val="en-PH"/>
        </w:rPr>
        <w:t>Review of the outstanding checks will be undertaken to determine if there are already stale checks, so that necessary adjustments will be made.</w:t>
      </w:r>
    </w:p>
    <w:p>
      <w:pPr>
        <w:pStyle w:val="ListParagraph"/>
        <w:rPr>
          <w:rFonts w:ascii="Arial" w:hAnsi="Arial" w:cs="Arial"/>
          <w:color w:val="FF0000"/>
          <w:sz w:val="22"/>
          <w:szCs w:val="22"/>
        </w:rPr>
      </w:pPr>
    </w:p>
    <w:p>
      <w:pPr>
        <w:pStyle w:val="ListParagraph"/>
        <w:numPr>
          <w:ilvl w:val="0"/>
          <w:numId w:val="13"/>
        </w:numPr>
        <w:ind w:left="1985" w:hanging="567"/>
        <w:contextualSpacing/>
        <w:jc w:val="both"/>
        <w:rPr>
          <w:rFonts w:ascii="Arial" w:hAnsi="Arial" w:cs="Arial"/>
          <w:sz w:val="22"/>
          <w:szCs w:val="22"/>
        </w:rPr>
      </w:pPr>
      <w:r>
        <w:rPr>
          <w:rFonts w:ascii="Arial" w:hAnsi="Arial" w:cs="Arial"/>
          <w:sz w:val="22"/>
          <w:szCs w:val="22"/>
          <w:lang w:val="en-PH"/>
        </w:rPr>
        <w:t>With regard to the incomplete/no attachments or supporting documents to the several JEVs pertaining to the adjusting entries for the prior years’ book reconciling items, the ABD has exercised utmost diligence in the verification, analysis and reconciliation of each reconciling item.  Due to the COVID-19 pandemic, all verification and analysis were done online with branches/offices concerned. The ABD has collected from the branches/offices concerned the necessary supporting documents for attachment to the JEVs, for submission to the COA.</w:t>
      </w:r>
    </w:p>
    <w:p>
      <w:pPr>
        <w:pStyle w:val="ListParagraph"/>
        <w:rPr>
          <w:rFonts w:ascii="Arial" w:hAnsi="Arial" w:cs="Arial"/>
          <w:color w:val="FF0000"/>
          <w:sz w:val="22"/>
          <w:szCs w:val="22"/>
        </w:rPr>
      </w:pPr>
    </w:p>
    <w:p>
      <w:pPr>
        <w:pStyle w:val="ListParagraph"/>
        <w:numPr>
          <w:ilvl w:val="0"/>
          <w:numId w:val="13"/>
        </w:numPr>
        <w:ind w:left="1985" w:hanging="567"/>
        <w:contextualSpacing/>
        <w:jc w:val="both"/>
        <w:rPr>
          <w:rFonts w:ascii="Arial" w:hAnsi="Arial" w:cs="Arial"/>
          <w:color w:val="000000" w:themeColor="text1"/>
          <w:sz w:val="22"/>
          <w:szCs w:val="22"/>
        </w:rPr>
      </w:pPr>
      <w:r>
        <w:rPr>
          <w:rFonts w:ascii="Arial" w:hAnsi="Arial" w:cs="Arial"/>
          <w:color w:val="000000" w:themeColor="text1"/>
          <w:sz w:val="22"/>
          <w:szCs w:val="22"/>
          <w:lang w:val="en-PH"/>
        </w:rPr>
        <w:t>Continuous reconciliation of SLs versus GL discrepancy, improvement on the timely recording of transactions affecting PCSO’s bank accounts, better coordination between ABD and Treasury Department in handling business procedures and system-related interventions will ensure a more systematic reconciliation of bank and book records.  In all of these, Management shall continue to coordinate and monitor developments</w:t>
      </w:r>
      <w:r>
        <w:rPr>
          <w:rFonts w:ascii="Arial" w:hAnsi="Arial" w:cs="Arial"/>
          <w:bCs/>
          <w:color w:val="000000" w:themeColor="text1"/>
          <w:sz w:val="22"/>
          <w:szCs w:val="22"/>
        </w:rPr>
        <w:t>.</w:t>
      </w:r>
    </w:p>
    <w:p>
      <w:pPr>
        <w:pStyle w:val="ListParagraph"/>
        <w:rPr>
          <w:rFonts w:ascii="Arial" w:hAnsi="Arial" w:cs="Arial"/>
          <w:sz w:val="22"/>
          <w:szCs w:val="22"/>
        </w:rPr>
      </w:pPr>
    </w:p>
    <w:p>
      <w:pPr>
        <w:pStyle w:val="ListParagraph"/>
        <w:numPr>
          <w:ilvl w:val="1"/>
          <w:numId w:val="17"/>
        </w:numPr>
        <w:ind w:left="1418" w:hanging="709"/>
        <w:jc w:val="both"/>
        <w:rPr>
          <w:rFonts w:ascii="Arial" w:hAnsi="Arial" w:cs="Arial"/>
          <w:sz w:val="22"/>
          <w:szCs w:val="22"/>
        </w:rPr>
      </w:pPr>
      <w:r>
        <w:rPr>
          <w:rFonts w:ascii="Arial" w:hAnsi="Arial" w:cs="Arial"/>
          <w:sz w:val="22"/>
          <w:szCs w:val="22"/>
        </w:rPr>
        <w:t xml:space="preserve">As rejoinders, the Audit Team would like to inform Management that upon validation of the documents submitted to COA after the Exit Conference, it was noted that out of the total outstanding checks of </w:t>
      </w:r>
      <w:r>
        <w:rPr>
          <w:rFonts w:ascii="Arial" w:hAnsi="Arial" w:cs="Arial"/>
          <w:sz w:val="22"/>
          <w:szCs w:val="22"/>
          <w:lang w:val="en-PH"/>
        </w:rPr>
        <w:t>P36.985 million  for CF</w:t>
      </w:r>
      <w:r>
        <w:rPr>
          <w:rFonts w:ascii="Arial" w:hAnsi="Arial" w:cs="Arial"/>
          <w:sz w:val="22"/>
          <w:szCs w:val="22"/>
        </w:rPr>
        <w:t xml:space="preserve"> account, P25.496 million were already staled, hence, should have already been reverted back to the Cash in Bank account.  On the other hand, the correctness of the outstanding checks for OF account amounting to P26.183 million is still subject for validation since the details were not yet submitted to the Audit Team.  Moreover, the  documents such as debit advices, debit memos, passbook and/or bank statements  to support the </w:t>
      </w:r>
      <w:r>
        <w:rPr>
          <w:rFonts w:ascii="Arial" w:hAnsi="Arial" w:cs="Arial"/>
          <w:sz w:val="22"/>
          <w:szCs w:val="22"/>
        </w:rPr>
        <w:lastRenderedPageBreak/>
        <w:t>JEVs submitted on June 30, 2021 for the adjustments made totaling P59.681 million were not attached thereto, hence the propriety of the recording thereof in the books could not be ascertained.</w:t>
      </w: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numPr>
          <w:ilvl w:val="0"/>
          <w:numId w:val="6"/>
        </w:numPr>
        <w:ind w:left="709" w:hanging="709"/>
        <w:jc w:val="both"/>
        <w:rPr>
          <w:rFonts w:ascii="Arial" w:hAnsi="Arial" w:cs="Arial"/>
          <w:b/>
          <w:sz w:val="22"/>
          <w:szCs w:val="22"/>
        </w:rPr>
      </w:pPr>
      <w:r>
        <w:rPr>
          <w:rFonts w:ascii="Arial" w:hAnsi="Arial" w:cs="Arial"/>
          <w:b/>
          <w:sz w:val="22"/>
          <w:szCs w:val="22"/>
        </w:rPr>
        <w:t xml:space="preserve">The undercollection of the guaranteed shares of the PCSO from the sales of the Instant Sweepstakes tickets for CY 2020 amounting to </w:t>
      </w:r>
      <w:r>
        <w:rPr>
          <w:rFonts w:ascii="Arial" w:hAnsi="Arial" w:cs="Arial"/>
          <w:b/>
          <w:iCs/>
          <w:sz w:val="22"/>
          <w:szCs w:val="22"/>
        </w:rPr>
        <w:t xml:space="preserve">P62.087 million was not recognized in the books resulting in the understatement of the Accounts Receivable and Income accounts by the same amount, </w:t>
      </w:r>
      <w:r>
        <w:rPr>
          <w:rFonts w:ascii="Arial" w:hAnsi="Arial" w:cs="Arial"/>
          <w:b/>
          <w:sz w:val="22"/>
          <w:szCs w:val="22"/>
        </w:rPr>
        <w:t xml:space="preserve">contrary to Paragraphs 4.4 and 4.44 of </w:t>
      </w:r>
      <w:r>
        <w:rPr>
          <w:rFonts w:ascii="Arial" w:hAnsi="Arial" w:cs="Arial"/>
          <w:b/>
          <w:bCs/>
          <w:color w:val="000000" w:themeColor="text1"/>
          <w:sz w:val="22"/>
          <w:szCs w:val="22"/>
        </w:rPr>
        <w:t>CFGPFR.</w:t>
      </w:r>
    </w:p>
    <w:p>
      <w:pPr>
        <w:pStyle w:val="ListParagraph"/>
        <w:jc w:val="both"/>
        <w:rPr>
          <w:rFonts w:ascii="Arial" w:hAnsi="Arial" w:cs="Arial"/>
          <w:b/>
        </w:rPr>
      </w:pPr>
    </w:p>
    <w:p>
      <w:pPr>
        <w:pStyle w:val="ListParagraph"/>
        <w:numPr>
          <w:ilvl w:val="1"/>
          <w:numId w:val="19"/>
        </w:numPr>
        <w:ind w:left="1418" w:hanging="709"/>
        <w:jc w:val="both"/>
        <w:rPr>
          <w:rFonts w:ascii="Arial" w:hAnsi="Arial" w:cs="Arial"/>
          <w:b/>
          <w:sz w:val="22"/>
          <w:szCs w:val="22"/>
        </w:rPr>
      </w:pPr>
      <w:r>
        <w:rPr>
          <w:rFonts w:ascii="Arial" w:hAnsi="Arial" w:cs="Arial"/>
          <w:iCs/>
          <w:sz w:val="22"/>
          <w:szCs w:val="22"/>
        </w:rPr>
        <w:t>Section 11 of the Implementing Rules and Regulations (IRR) for the Instant Sweepstakes Program (ISP) provides</w:t>
      </w:r>
      <w:r>
        <w:rPr>
          <w:rFonts w:ascii="Arial" w:hAnsi="Arial" w:cs="Arial"/>
          <w:sz w:val="22"/>
          <w:szCs w:val="22"/>
        </w:rPr>
        <w:t>:</w:t>
      </w:r>
    </w:p>
    <w:p>
      <w:pPr>
        <w:pStyle w:val="ListParagraph"/>
        <w:ind w:left="1440" w:hanging="720"/>
        <w:jc w:val="both"/>
        <w:rPr>
          <w:rFonts w:ascii="Arial" w:hAnsi="Arial" w:cs="Arial"/>
          <w:sz w:val="22"/>
          <w:szCs w:val="22"/>
        </w:rPr>
      </w:pPr>
    </w:p>
    <w:p>
      <w:pPr>
        <w:spacing w:after="0" w:line="240" w:lineRule="auto"/>
        <w:ind w:left="1985" w:right="691"/>
        <w:jc w:val="both"/>
        <w:rPr>
          <w:rFonts w:ascii="Arial" w:hAnsi="Arial" w:cs="Arial"/>
          <w:bCs/>
          <w:i/>
        </w:rPr>
      </w:pPr>
      <w:r>
        <w:rPr>
          <w:rFonts w:ascii="Arial" w:hAnsi="Arial" w:cs="Arial"/>
          <w:bCs/>
          <w:i/>
        </w:rPr>
        <w:t>Authorized Distributor shall undertake the production, warehousing advertising, marketing, and distribution nationwide of PCSO Instant Sweepstakes</w:t>
      </w:r>
      <w:r>
        <w:rPr>
          <w:rFonts w:ascii="Arial" w:hAnsi="Arial" w:cs="Arial"/>
          <w:bCs/>
          <w:i/>
          <w:spacing w:val="-23"/>
        </w:rPr>
        <w:t xml:space="preserve"> </w:t>
      </w:r>
      <w:r>
        <w:rPr>
          <w:rFonts w:ascii="Arial" w:hAnsi="Arial" w:cs="Arial"/>
          <w:bCs/>
          <w:i/>
        </w:rPr>
        <w:t>tickets</w:t>
      </w:r>
      <w:r>
        <w:rPr>
          <w:rFonts w:ascii="Arial" w:hAnsi="Arial" w:cs="Arial"/>
          <w:bCs/>
          <w:i/>
          <w:spacing w:val="-31"/>
        </w:rPr>
        <w:t xml:space="preserve"> </w:t>
      </w:r>
      <w:r>
        <w:rPr>
          <w:rFonts w:ascii="Arial" w:hAnsi="Arial" w:cs="Arial"/>
          <w:bCs/>
          <w:i/>
        </w:rPr>
        <w:t>on</w:t>
      </w:r>
      <w:r>
        <w:rPr>
          <w:rFonts w:ascii="Arial" w:hAnsi="Arial" w:cs="Arial"/>
          <w:bCs/>
          <w:i/>
          <w:spacing w:val="-38"/>
        </w:rPr>
        <w:t xml:space="preserve"> </w:t>
      </w:r>
      <w:r>
        <w:rPr>
          <w:rFonts w:ascii="Arial" w:hAnsi="Arial" w:cs="Arial"/>
          <w:bCs/>
          <w:i/>
        </w:rPr>
        <w:t>a</w:t>
      </w:r>
      <w:r>
        <w:rPr>
          <w:rFonts w:ascii="Arial" w:hAnsi="Arial" w:cs="Arial"/>
          <w:bCs/>
          <w:i/>
          <w:spacing w:val="-35"/>
        </w:rPr>
        <w:t xml:space="preserve"> </w:t>
      </w:r>
      <w:r>
        <w:rPr>
          <w:rFonts w:ascii="Arial" w:hAnsi="Arial" w:cs="Arial"/>
          <w:bCs/>
          <w:i/>
        </w:rPr>
        <w:t>non-exclusive</w:t>
      </w:r>
      <w:r>
        <w:rPr>
          <w:rFonts w:ascii="Arial" w:hAnsi="Arial" w:cs="Arial"/>
          <w:bCs/>
          <w:i/>
          <w:spacing w:val="-25"/>
        </w:rPr>
        <w:t xml:space="preserve"> </w:t>
      </w:r>
      <w:r>
        <w:rPr>
          <w:rFonts w:ascii="Arial" w:hAnsi="Arial" w:cs="Arial"/>
          <w:bCs/>
          <w:i/>
        </w:rPr>
        <w:t>basis.</w:t>
      </w:r>
      <w:r>
        <w:rPr>
          <w:rFonts w:ascii="Arial" w:hAnsi="Arial" w:cs="Arial"/>
          <w:bCs/>
          <w:i/>
          <w:spacing w:val="-28"/>
        </w:rPr>
        <w:t xml:space="preserve"> </w:t>
      </w:r>
      <w:r>
        <w:rPr>
          <w:rFonts w:ascii="Arial" w:hAnsi="Arial" w:cs="Arial"/>
          <w:bCs/>
          <w:i/>
        </w:rPr>
        <w:t>The</w:t>
      </w:r>
      <w:r>
        <w:rPr>
          <w:rFonts w:ascii="Arial" w:hAnsi="Arial" w:cs="Arial"/>
          <w:bCs/>
          <w:i/>
          <w:spacing w:val="-35"/>
        </w:rPr>
        <w:t xml:space="preserve"> </w:t>
      </w:r>
      <w:r>
        <w:rPr>
          <w:rFonts w:ascii="Arial" w:hAnsi="Arial" w:cs="Arial"/>
          <w:bCs/>
          <w:i/>
        </w:rPr>
        <w:t>Authorized</w:t>
      </w:r>
      <w:r>
        <w:rPr>
          <w:rFonts w:ascii="Arial" w:hAnsi="Arial" w:cs="Arial"/>
          <w:bCs/>
          <w:i/>
          <w:spacing w:val="-30"/>
        </w:rPr>
        <w:t xml:space="preserve"> </w:t>
      </w:r>
      <w:r>
        <w:rPr>
          <w:rFonts w:ascii="Arial" w:hAnsi="Arial" w:cs="Arial"/>
          <w:bCs/>
          <w:i/>
        </w:rPr>
        <w:t>Distributor guarantees a total sale of Instant Sweepstakes tickets of five (5) Billion Pesos (P5,000,000, 000.00) for a period of five   (5) years or One Billion Pesos (P1,000,000,000.00) per year at no cost to PCSO, subject to revisions and amendments with regard to the volume of tickets and guaranteed sales,</w:t>
      </w:r>
      <w:r>
        <w:rPr>
          <w:rFonts w:ascii="Arial" w:hAnsi="Arial" w:cs="Arial"/>
          <w:bCs/>
          <w:i/>
          <w:spacing w:val="-8"/>
        </w:rPr>
        <w:t xml:space="preserve"> </w:t>
      </w:r>
      <w:r>
        <w:rPr>
          <w:rFonts w:ascii="Arial" w:hAnsi="Arial" w:cs="Arial"/>
          <w:bCs/>
          <w:i/>
        </w:rPr>
        <w:t>based</w:t>
      </w:r>
      <w:r>
        <w:rPr>
          <w:rFonts w:ascii="Arial" w:hAnsi="Arial" w:cs="Arial"/>
          <w:bCs/>
          <w:i/>
          <w:spacing w:val="-15"/>
        </w:rPr>
        <w:t xml:space="preserve"> </w:t>
      </w:r>
      <w:r>
        <w:rPr>
          <w:rFonts w:ascii="Arial" w:hAnsi="Arial" w:cs="Arial"/>
          <w:bCs/>
          <w:i/>
        </w:rPr>
        <w:t>on</w:t>
      </w:r>
      <w:r>
        <w:rPr>
          <w:rFonts w:ascii="Arial" w:hAnsi="Arial" w:cs="Arial"/>
          <w:bCs/>
          <w:i/>
          <w:spacing w:val="-16"/>
        </w:rPr>
        <w:t xml:space="preserve"> </w:t>
      </w:r>
      <w:r>
        <w:rPr>
          <w:rFonts w:ascii="Arial" w:hAnsi="Arial" w:cs="Arial"/>
          <w:bCs/>
          <w:i/>
        </w:rPr>
        <w:t>the</w:t>
      </w:r>
      <w:r>
        <w:rPr>
          <w:rFonts w:ascii="Arial" w:hAnsi="Arial" w:cs="Arial"/>
          <w:bCs/>
          <w:i/>
          <w:spacing w:val="-19"/>
        </w:rPr>
        <w:t xml:space="preserve"> </w:t>
      </w:r>
      <w:r>
        <w:rPr>
          <w:rFonts w:ascii="Arial" w:hAnsi="Arial" w:cs="Arial"/>
          <w:bCs/>
          <w:i/>
        </w:rPr>
        <w:t>business</w:t>
      </w:r>
      <w:r>
        <w:rPr>
          <w:rFonts w:ascii="Arial" w:hAnsi="Arial" w:cs="Arial"/>
          <w:bCs/>
          <w:i/>
          <w:spacing w:val="1"/>
        </w:rPr>
        <w:t xml:space="preserve"> </w:t>
      </w:r>
      <w:r>
        <w:rPr>
          <w:rFonts w:ascii="Arial" w:hAnsi="Arial" w:cs="Arial"/>
          <w:bCs/>
          <w:i/>
        </w:rPr>
        <w:t>judgment</w:t>
      </w:r>
      <w:r>
        <w:rPr>
          <w:rFonts w:ascii="Arial" w:hAnsi="Arial" w:cs="Arial"/>
          <w:bCs/>
          <w:i/>
          <w:spacing w:val="-2"/>
        </w:rPr>
        <w:t xml:space="preserve"> </w:t>
      </w:r>
      <w:r>
        <w:rPr>
          <w:rFonts w:ascii="Arial" w:hAnsi="Arial" w:cs="Arial"/>
          <w:bCs/>
          <w:i/>
        </w:rPr>
        <w:t>of</w:t>
      </w:r>
      <w:r>
        <w:rPr>
          <w:rFonts w:ascii="Arial" w:hAnsi="Arial" w:cs="Arial"/>
          <w:bCs/>
          <w:i/>
          <w:spacing w:val="-21"/>
        </w:rPr>
        <w:t xml:space="preserve"> </w:t>
      </w:r>
      <w:r>
        <w:rPr>
          <w:rFonts w:ascii="Arial" w:hAnsi="Arial" w:cs="Arial"/>
          <w:bCs/>
          <w:i/>
        </w:rPr>
        <w:t>the</w:t>
      </w:r>
      <w:r>
        <w:rPr>
          <w:rFonts w:ascii="Arial" w:hAnsi="Arial" w:cs="Arial"/>
          <w:bCs/>
          <w:i/>
          <w:spacing w:val="-14"/>
        </w:rPr>
        <w:t xml:space="preserve"> </w:t>
      </w:r>
      <w:r>
        <w:rPr>
          <w:rFonts w:ascii="Arial" w:hAnsi="Arial" w:cs="Arial"/>
          <w:bCs/>
          <w:i/>
        </w:rPr>
        <w:t>Board.</w:t>
      </w:r>
    </w:p>
    <w:p>
      <w:pPr>
        <w:spacing w:after="0" w:line="240" w:lineRule="auto"/>
        <w:ind w:left="1710" w:right="691"/>
        <w:jc w:val="both"/>
        <w:rPr>
          <w:rFonts w:ascii="Arial" w:hAnsi="Arial" w:cs="Arial"/>
          <w:bCs/>
          <w:i/>
        </w:rPr>
      </w:pPr>
    </w:p>
    <w:p>
      <w:pPr>
        <w:pStyle w:val="ListParagraph"/>
        <w:numPr>
          <w:ilvl w:val="1"/>
          <w:numId w:val="19"/>
        </w:numPr>
        <w:ind w:left="1418" w:hanging="709"/>
        <w:jc w:val="both"/>
        <w:rPr>
          <w:rFonts w:ascii="Arial" w:hAnsi="Arial" w:cs="Arial"/>
          <w:iCs/>
          <w:sz w:val="22"/>
          <w:szCs w:val="22"/>
        </w:rPr>
      </w:pPr>
      <w:r>
        <w:rPr>
          <w:rFonts w:ascii="Arial" w:hAnsi="Arial" w:cs="Arial"/>
          <w:iCs/>
          <w:sz w:val="22"/>
          <w:szCs w:val="22"/>
        </w:rPr>
        <w:t>Item (i) under Section 4-Definition of terms and Section 57 of the IRR for ISP provide that:</w:t>
      </w:r>
    </w:p>
    <w:p>
      <w:pPr>
        <w:pStyle w:val="ListParagraph"/>
        <w:ind w:left="1560" w:right="691"/>
        <w:jc w:val="both"/>
        <w:rPr>
          <w:rFonts w:ascii="Arial" w:hAnsi="Arial" w:cs="Arial"/>
          <w:iCs/>
          <w:sz w:val="22"/>
          <w:szCs w:val="22"/>
        </w:rPr>
      </w:pPr>
    </w:p>
    <w:p>
      <w:pPr>
        <w:pStyle w:val="ListParagraph"/>
        <w:widowControl w:val="0"/>
        <w:numPr>
          <w:ilvl w:val="2"/>
          <w:numId w:val="2"/>
        </w:numPr>
        <w:tabs>
          <w:tab w:val="left" w:pos="1977"/>
        </w:tabs>
        <w:autoSpaceDE w:val="0"/>
        <w:autoSpaceDN w:val="0"/>
        <w:spacing w:before="1" w:line="235" w:lineRule="auto"/>
        <w:ind w:left="2552" w:right="713" w:hanging="572"/>
        <w:jc w:val="both"/>
        <w:rPr>
          <w:rFonts w:ascii="Arial" w:hAnsi="Arial" w:cs="Arial"/>
          <w:i/>
          <w:iCs/>
          <w:sz w:val="22"/>
          <w:szCs w:val="22"/>
        </w:rPr>
      </w:pPr>
      <w:r>
        <w:rPr>
          <w:rFonts w:ascii="Arial" w:hAnsi="Arial" w:cs="Arial"/>
          <w:i/>
          <w:iCs/>
          <w:sz w:val="22"/>
          <w:szCs w:val="22"/>
        </w:rPr>
        <w:t>Guaranteed Share - refers to 13% of Gross Receipts payable to PCSO based on the Five (5) Billion pesos ticket sales for a period</w:t>
      </w:r>
      <w:r>
        <w:rPr>
          <w:rFonts w:ascii="Arial" w:hAnsi="Arial" w:cs="Arial"/>
          <w:i/>
          <w:iCs/>
          <w:spacing w:val="-36"/>
          <w:sz w:val="22"/>
          <w:szCs w:val="22"/>
        </w:rPr>
        <w:t xml:space="preserve"> </w:t>
      </w:r>
      <w:r>
        <w:rPr>
          <w:rFonts w:ascii="Arial" w:hAnsi="Arial" w:cs="Arial"/>
          <w:i/>
          <w:iCs/>
          <w:sz w:val="22"/>
          <w:szCs w:val="22"/>
        </w:rPr>
        <w:t>of Five (5) years as described in Section</w:t>
      </w:r>
      <w:r>
        <w:rPr>
          <w:rFonts w:ascii="Arial" w:hAnsi="Arial" w:cs="Arial"/>
          <w:i/>
          <w:iCs/>
          <w:spacing w:val="-5"/>
          <w:sz w:val="22"/>
          <w:szCs w:val="22"/>
        </w:rPr>
        <w:t xml:space="preserve"> </w:t>
      </w:r>
      <w:r>
        <w:rPr>
          <w:rFonts w:ascii="Arial" w:hAnsi="Arial" w:cs="Arial"/>
          <w:i/>
          <w:iCs/>
          <w:sz w:val="22"/>
          <w:szCs w:val="22"/>
        </w:rPr>
        <w:t>57.</w:t>
      </w:r>
    </w:p>
    <w:p>
      <w:pPr>
        <w:pStyle w:val="ListParagraph"/>
        <w:widowControl w:val="0"/>
        <w:tabs>
          <w:tab w:val="left" w:pos="1977"/>
        </w:tabs>
        <w:autoSpaceDE w:val="0"/>
        <w:autoSpaceDN w:val="0"/>
        <w:spacing w:before="1" w:line="235" w:lineRule="auto"/>
        <w:ind w:left="1843" w:right="713"/>
        <w:jc w:val="both"/>
        <w:rPr>
          <w:rFonts w:ascii="Arial" w:hAnsi="Arial" w:cs="Arial"/>
          <w:i/>
          <w:iCs/>
          <w:sz w:val="22"/>
          <w:szCs w:val="22"/>
        </w:rPr>
      </w:pPr>
    </w:p>
    <w:p>
      <w:pPr>
        <w:widowControl w:val="0"/>
        <w:tabs>
          <w:tab w:val="left" w:pos="1985"/>
        </w:tabs>
        <w:autoSpaceDE w:val="0"/>
        <w:autoSpaceDN w:val="0"/>
        <w:spacing w:before="1" w:line="235" w:lineRule="auto"/>
        <w:ind w:left="1985" w:right="713"/>
        <w:jc w:val="both"/>
        <w:rPr>
          <w:rFonts w:ascii="Arial" w:hAnsi="Arial" w:cs="Arial"/>
          <w:i/>
        </w:rPr>
      </w:pPr>
      <w:r>
        <w:rPr>
          <w:rFonts w:ascii="Arial" w:hAnsi="Arial" w:cs="Arial"/>
          <w:i/>
        </w:rPr>
        <w:t>Section 57 - To guarantee payment of the PCSO’s share of P650,000,000.00 for a period of five (5) years in the net proceeds of sale of the Instant Sweepstakes tickets, the Authorized Distrubutor shall submit to PCSO within one (1) week from the date of execution of the Memorandum of Agreement, sixty (60) post-dated checks in equal amounts of Ten Million Eight Hundred Thirty Three Thousand Three Hundred Thirty Three and 33/100 (P10,833,333.33) which shall fall due every 30</w:t>
      </w:r>
      <w:r>
        <w:rPr>
          <w:rFonts w:ascii="Arial" w:hAnsi="Arial" w:cs="Arial"/>
          <w:i/>
          <w:vertAlign w:val="superscript"/>
        </w:rPr>
        <w:t>th</w:t>
      </w:r>
      <w:r>
        <w:rPr>
          <w:rFonts w:ascii="Arial" w:hAnsi="Arial" w:cs="Arial"/>
          <w:i/>
        </w:rPr>
        <w:t xml:space="preserve"> day of each and every month following initial launch and distribution of Instant Sweepstakes tickets. </w:t>
      </w:r>
    </w:p>
    <w:p>
      <w:pPr>
        <w:pStyle w:val="ListParagraph"/>
        <w:numPr>
          <w:ilvl w:val="1"/>
          <w:numId w:val="19"/>
        </w:numPr>
        <w:ind w:left="1418" w:hanging="709"/>
        <w:jc w:val="both"/>
        <w:rPr>
          <w:rFonts w:ascii="Arial" w:hAnsi="Arial" w:cs="Arial"/>
          <w:b/>
          <w:sz w:val="22"/>
          <w:szCs w:val="22"/>
        </w:rPr>
      </w:pPr>
      <w:r>
        <w:rPr>
          <w:rFonts w:ascii="Arial" w:eastAsia="Calibri" w:hAnsi="Arial" w:cs="Arial"/>
          <w:sz w:val="22"/>
          <w:szCs w:val="22"/>
        </w:rPr>
        <w:t xml:space="preserve">Paragraphs 4.4 and 4.44 of the </w:t>
      </w:r>
      <w:r>
        <w:rPr>
          <w:rFonts w:ascii="Arial" w:hAnsi="Arial" w:cs="Arial"/>
          <w:bCs/>
          <w:color w:val="000000" w:themeColor="text1"/>
          <w:sz w:val="22"/>
          <w:szCs w:val="22"/>
        </w:rPr>
        <w:t>CFGPFR</w:t>
      </w:r>
      <w:r>
        <w:rPr>
          <w:rFonts w:ascii="Arial" w:eastAsia="Calibri" w:hAnsi="Arial" w:cs="Arial"/>
          <w:sz w:val="22"/>
          <w:szCs w:val="22"/>
        </w:rPr>
        <w:t xml:space="preserve"> provide the definition of and recognition criteria for asset and income, as follows:</w:t>
      </w:r>
    </w:p>
    <w:p>
      <w:pPr>
        <w:pStyle w:val="ListParagraph"/>
        <w:autoSpaceDE w:val="0"/>
        <w:autoSpaceDN w:val="0"/>
        <w:adjustRightInd w:val="0"/>
        <w:ind w:left="1224" w:right="-45"/>
        <w:jc w:val="both"/>
        <w:rPr>
          <w:rFonts w:ascii="Arial" w:hAnsi="Arial" w:cs="Arial"/>
          <w:i/>
          <w:sz w:val="22"/>
          <w:szCs w:val="22"/>
        </w:rPr>
      </w:pPr>
    </w:p>
    <w:p>
      <w:pPr>
        <w:pStyle w:val="ListParagraph"/>
        <w:ind w:left="2552" w:right="720" w:hanging="567"/>
        <w:contextualSpacing/>
        <w:jc w:val="both"/>
        <w:rPr>
          <w:rFonts w:ascii="Arial" w:hAnsi="Arial" w:cs="Arial"/>
          <w:i/>
          <w:sz w:val="22"/>
          <w:szCs w:val="22"/>
        </w:rPr>
      </w:pPr>
      <w:r>
        <w:rPr>
          <w:rFonts w:ascii="Arial" w:hAnsi="Arial" w:cs="Arial"/>
          <w:i/>
          <w:sz w:val="22"/>
          <w:szCs w:val="22"/>
        </w:rPr>
        <w:t>4.4.</w:t>
      </w:r>
      <w:r>
        <w:rPr>
          <w:rFonts w:ascii="Arial" w:hAnsi="Arial" w:cs="Arial"/>
          <w:i/>
          <w:sz w:val="22"/>
          <w:szCs w:val="22"/>
        </w:rPr>
        <w:tab/>
        <w:t>(a) An asset is a resource controlled by the entity as a result of past event and from which future economic benefits are expected to flow to the entity.</w:t>
      </w:r>
    </w:p>
    <w:p>
      <w:pPr>
        <w:pStyle w:val="ListParagraph"/>
        <w:ind w:left="2552" w:right="720" w:hanging="567"/>
        <w:contextualSpacing/>
        <w:jc w:val="both"/>
        <w:rPr>
          <w:rFonts w:ascii="Arial" w:hAnsi="Arial" w:cs="Arial"/>
          <w:i/>
          <w:sz w:val="22"/>
          <w:szCs w:val="22"/>
        </w:rPr>
      </w:pPr>
    </w:p>
    <w:p>
      <w:pPr>
        <w:pStyle w:val="ListParagraph"/>
        <w:ind w:left="2552" w:right="720" w:hanging="567"/>
        <w:contextualSpacing/>
        <w:jc w:val="both"/>
        <w:rPr>
          <w:rFonts w:ascii="Arial" w:hAnsi="Arial" w:cs="Arial"/>
          <w:i/>
          <w:sz w:val="22"/>
          <w:szCs w:val="22"/>
        </w:rPr>
      </w:pPr>
      <w:r>
        <w:rPr>
          <w:rFonts w:ascii="Arial" w:hAnsi="Arial" w:cs="Arial"/>
          <w:i/>
          <w:sz w:val="22"/>
          <w:szCs w:val="22"/>
        </w:rPr>
        <w:lastRenderedPageBreak/>
        <w:t>4.44. An asset is recognized in the balance sheet when it is probable that the future economic benefits will flow to the entity and the asset has a cost or value that can be measured.</w:t>
      </w:r>
    </w:p>
    <w:p>
      <w:pPr>
        <w:pStyle w:val="ListParagraph"/>
        <w:ind w:left="2552" w:right="720" w:hanging="567"/>
        <w:contextualSpacing/>
        <w:jc w:val="both"/>
        <w:rPr>
          <w:rFonts w:ascii="Arial" w:hAnsi="Arial" w:cs="Arial"/>
          <w:i/>
          <w:sz w:val="22"/>
          <w:szCs w:val="22"/>
        </w:rPr>
      </w:pPr>
    </w:p>
    <w:p>
      <w:pPr>
        <w:pStyle w:val="ListParagraph"/>
        <w:numPr>
          <w:ilvl w:val="1"/>
          <w:numId w:val="19"/>
        </w:numPr>
        <w:ind w:left="1418" w:hanging="709"/>
        <w:jc w:val="both"/>
        <w:rPr>
          <w:rFonts w:ascii="Arial" w:hAnsi="Arial" w:cs="Arial"/>
          <w:b/>
          <w:sz w:val="22"/>
          <w:szCs w:val="22"/>
        </w:rPr>
      </w:pPr>
      <w:r>
        <w:rPr>
          <w:rFonts w:ascii="Arial" w:hAnsi="Arial" w:cs="Arial"/>
          <w:bCs/>
          <w:iCs/>
          <w:sz w:val="22"/>
          <w:szCs w:val="22"/>
        </w:rPr>
        <w:t>Verification disclosed that the PCSO recognized in its books the actual sales of the Instant Sweepstakes Authorized Corporation (ISAC) during           CY 2020 instead of the annual guaranteed sales of P1.000 billion.  Accordingly,</w:t>
      </w:r>
      <w:r>
        <w:rPr>
          <w:rFonts w:ascii="Arial" w:hAnsi="Arial" w:cs="Arial"/>
          <w:sz w:val="22"/>
          <w:szCs w:val="22"/>
        </w:rPr>
        <w:t xml:space="preserve"> the recorded guaranteed share was based on the actual ISP sales for CY 2020 amounting to P67.912 million when it should have been based on </w:t>
      </w:r>
      <w:r>
        <w:rPr>
          <w:rFonts w:ascii="Arial" w:hAnsi="Arial" w:cs="Arial"/>
          <w:bCs/>
          <w:iCs/>
          <w:sz w:val="22"/>
          <w:szCs w:val="22"/>
        </w:rPr>
        <w:t>t</w:t>
      </w:r>
      <w:r>
        <w:rPr>
          <w:rFonts w:ascii="Arial" w:hAnsi="Arial" w:cs="Arial"/>
          <w:sz w:val="22"/>
          <w:szCs w:val="22"/>
        </w:rPr>
        <w:t xml:space="preserve">he said guaranteed share, or P130.000 million, resulting in the understatement of the Accounts Receivable and Income accounts by P62.087 million, contrary to Paragraph 4.4 of the </w:t>
      </w:r>
      <w:r>
        <w:rPr>
          <w:rFonts w:ascii="Arial" w:hAnsi="Arial" w:cs="Arial"/>
          <w:bCs/>
          <w:color w:val="000000" w:themeColor="text1"/>
          <w:sz w:val="22"/>
          <w:szCs w:val="22"/>
        </w:rPr>
        <w:t>CFGPFR</w:t>
      </w:r>
      <w:r>
        <w:rPr>
          <w:rFonts w:ascii="Arial" w:hAnsi="Arial" w:cs="Arial"/>
          <w:sz w:val="22"/>
          <w:szCs w:val="22"/>
        </w:rPr>
        <w:t xml:space="preserve">. </w:t>
      </w:r>
      <w:r>
        <w:rPr>
          <w:rFonts w:ascii="Arial" w:hAnsi="Arial" w:cs="Arial"/>
          <w:bCs/>
          <w:iCs/>
          <w:sz w:val="22"/>
          <w:szCs w:val="22"/>
        </w:rPr>
        <w:t>The computation of the undercollection of the guaranteed shares of the PCSO from the sales of the ISP tickets is presented in Table 13.</w:t>
      </w:r>
    </w:p>
    <w:p>
      <w:pPr>
        <w:pStyle w:val="ListParagraph"/>
        <w:rPr>
          <w:rFonts w:ascii="Arial" w:hAnsi="Arial" w:cs="Arial"/>
          <w:sz w:val="22"/>
          <w:szCs w:val="22"/>
        </w:rPr>
      </w:pPr>
    </w:p>
    <w:p>
      <w:pPr>
        <w:pStyle w:val="ListParagraph"/>
        <w:jc w:val="center"/>
        <w:rPr>
          <w:rFonts w:ascii="Arial" w:hAnsi="Arial" w:cs="Arial"/>
          <w:b/>
          <w:sz w:val="20"/>
          <w:szCs w:val="20"/>
        </w:rPr>
      </w:pPr>
      <w:r>
        <w:rPr>
          <w:rFonts w:ascii="Arial" w:hAnsi="Arial" w:cs="Arial"/>
          <w:b/>
          <w:sz w:val="20"/>
          <w:szCs w:val="20"/>
        </w:rPr>
        <w:t>Table 13 – Computation of Undercollection of the Guaranteed Shares of the PCSO from Sales of the Instant Sweepstakes Tickets for CY 2020</w:t>
      </w:r>
    </w:p>
    <w:p>
      <w:pPr>
        <w:pStyle w:val="ListParagraph"/>
        <w:rPr>
          <w:rFonts w:ascii="Arial" w:hAnsi="Arial" w:cs="Arial"/>
          <w:sz w:val="22"/>
          <w:szCs w:val="22"/>
        </w:rPr>
      </w:pPr>
    </w:p>
    <w:tbl>
      <w:tblPr>
        <w:tblW w:w="8022" w:type="dxa"/>
        <w:tblInd w:w="709" w:type="dxa"/>
        <w:tblLook w:val="04A0" w:firstRow="1" w:lastRow="0" w:firstColumn="1" w:lastColumn="0" w:noHBand="0" w:noVBand="1"/>
      </w:tblPr>
      <w:tblGrid>
        <w:gridCol w:w="5528"/>
        <w:gridCol w:w="2494"/>
      </w:tblGrid>
      <w:tr>
        <w:trPr>
          <w:trHeight w:val="189"/>
        </w:trPr>
        <w:tc>
          <w:tcPr>
            <w:tcW w:w="5528" w:type="dxa"/>
            <w:tcBorders>
              <w:top w:val="single" w:sz="4" w:space="0" w:color="auto"/>
              <w:left w:val="nil"/>
              <w:bottom w:val="single" w:sz="4" w:space="0" w:color="auto"/>
              <w:right w:val="nil"/>
            </w:tcBorders>
            <w:hideMark/>
          </w:tcPr>
          <w:p>
            <w:pPr>
              <w:spacing w:after="0" w:line="240" w:lineRule="auto"/>
              <w:ind w:hanging="105"/>
              <w:rPr>
                <w:rFonts w:ascii="Arial" w:hAnsi="Arial" w:cs="Arial"/>
                <w:b/>
                <w:iCs/>
                <w:sz w:val="20"/>
                <w:szCs w:val="20"/>
              </w:rPr>
            </w:pPr>
            <w:r>
              <w:rPr>
                <w:rFonts w:ascii="Arial" w:hAnsi="Arial" w:cs="Arial"/>
                <w:b/>
                <w:iCs/>
                <w:sz w:val="20"/>
                <w:szCs w:val="20"/>
              </w:rPr>
              <w:t>Particulars</w:t>
            </w:r>
          </w:p>
        </w:tc>
        <w:tc>
          <w:tcPr>
            <w:tcW w:w="2494" w:type="dxa"/>
            <w:tcBorders>
              <w:top w:val="single" w:sz="4" w:space="0" w:color="auto"/>
              <w:left w:val="nil"/>
              <w:bottom w:val="single" w:sz="4" w:space="0" w:color="auto"/>
              <w:right w:val="nil"/>
            </w:tcBorders>
            <w:hideMark/>
          </w:tcPr>
          <w:p>
            <w:pPr>
              <w:spacing w:after="0" w:line="240" w:lineRule="auto"/>
              <w:ind w:right="-24" w:hanging="105"/>
              <w:jc w:val="right"/>
              <w:rPr>
                <w:rFonts w:ascii="Arial" w:hAnsi="Arial" w:cs="Arial"/>
                <w:b/>
                <w:iCs/>
                <w:sz w:val="20"/>
                <w:szCs w:val="20"/>
              </w:rPr>
            </w:pPr>
            <w:r>
              <w:rPr>
                <w:rFonts w:ascii="Arial" w:hAnsi="Arial" w:cs="Arial"/>
                <w:b/>
                <w:iCs/>
                <w:sz w:val="20"/>
                <w:szCs w:val="20"/>
              </w:rPr>
              <w:t>Amount</w:t>
            </w:r>
          </w:p>
        </w:tc>
      </w:tr>
      <w:tr>
        <w:trPr>
          <w:trHeight w:val="798"/>
        </w:trPr>
        <w:tc>
          <w:tcPr>
            <w:tcW w:w="5528" w:type="dxa"/>
            <w:tcBorders>
              <w:top w:val="single" w:sz="4" w:space="0" w:color="auto"/>
            </w:tcBorders>
          </w:tcPr>
          <w:p>
            <w:pPr>
              <w:spacing w:after="0" w:line="240" w:lineRule="auto"/>
              <w:ind w:left="-105"/>
              <w:jc w:val="both"/>
              <w:rPr>
                <w:rFonts w:ascii="Arial" w:hAnsi="Arial" w:cs="Arial"/>
                <w:bCs/>
                <w:iCs/>
                <w:sz w:val="20"/>
                <w:szCs w:val="20"/>
              </w:rPr>
            </w:pPr>
            <w:r>
              <w:rPr>
                <w:rFonts w:ascii="Arial" w:hAnsi="Arial" w:cs="Arial"/>
                <w:bCs/>
                <w:iCs/>
                <w:sz w:val="20"/>
                <w:szCs w:val="20"/>
              </w:rPr>
              <w:t>13% Guaranteed Share of PCSO based on the Annual Guaranteed Sales (P1 billion x 13% or P10,833,333.33/month x 12 months)</w:t>
            </w:r>
          </w:p>
          <w:p>
            <w:pPr>
              <w:spacing w:after="0" w:line="240" w:lineRule="auto"/>
              <w:jc w:val="both"/>
              <w:rPr>
                <w:rFonts w:ascii="Arial" w:hAnsi="Arial" w:cs="Arial"/>
                <w:bCs/>
                <w:iCs/>
                <w:sz w:val="20"/>
                <w:szCs w:val="20"/>
              </w:rPr>
            </w:pPr>
          </w:p>
        </w:tc>
        <w:tc>
          <w:tcPr>
            <w:tcW w:w="2494" w:type="dxa"/>
            <w:tcBorders>
              <w:top w:val="single" w:sz="4" w:space="0" w:color="auto"/>
            </w:tcBorders>
            <w:hideMark/>
          </w:tcPr>
          <w:p>
            <w:pPr>
              <w:spacing w:after="0" w:line="240" w:lineRule="auto"/>
              <w:ind w:right="-24" w:hanging="105"/>
              <w:jc w:val="right"/>
              <w:rPr>
                <w:rFonts w:ascii="Arial" w:hAnsi="Arial" w:cs="Arial"/>
                <w:iCs/>
                <w:sz w:val="20"/>
                <w:szCs w:val="20"/>
              </w:rPr>
            </w:pPr>
          </w:p>
          <w:p>
            <w:pPr>
              <w:spacing w:after="0" w:line="240" w:lineRule="auto"/>
              <w:ind w:right="-24" w:hanging="105"/>
              <w:jc w:val="right"/>
              <w:rPr>
                <w:rFonts w:ascii="Arial" w:hAnsi="Arial" w:cs="Arial"/>
                <w:iCs/>
                <w:sz w:val="20"/>
                <w:szCs w:val="20"/>
              </w:rPr>
            </w:pPr>
          </w:p>
          <w:p>
            <w:pPr>
              <w:spacing w:after="0" w:line="240" w:lineRule="auto"/>
              <w:ind w:right="-24" w:hanging="105"/>
              <w:jc w:val="right"/>
              <w:rPr>
                <w:rFonts w:ascii="Arial" w:hAnsi="Arial" w:cs="Arial"/>
                <w:iCs/>
                <w:sz w:val="20"/>
                <w:szCs w:val="20"/>
              </w:rPr>
            </w:pPr>
            <w:r>
              <w:rPr>
                <w:rFonts w:ascii="Arial" w:hAnsi="Arial" w:cs="Arial"/>
                <w:iCs/>
                <w:sz w:val="20"/>
                <w:szCs w:val="20"/>
              </w:rPr>
              <w:t>P130,000,000.00</w:t>
            </w:r>
          </w:p>
        </w:tc>
      </w:tr>
      <w:tr>
        <w:trPr>
          <w:trHeight w:val="489"/>
        </w:trPr>
        <w:tc>
          <w:tcPr>
            <w:tcW w:w="5528" w:type="dxa"/>
            <w:tcBorders>
              <w:bottom w:val="single" w:sz="4" w:space="0" w:color="auto"/>
            </w:tcBorders>
            <w:hideMark/>
          </w:tcPr>
          <w:p>
            <w:pPr>
              <w:spacing w:after="0" w:line="240" w:lineRule="auto"/>
              <w:ind w:left="-105"/>
              <w:jc w:val="both"/>
              <w:rPr>
                <w:rFonts w:ascii="Arial" w:hAnsi="Arial" w:cs="Arial"/>
                <w:bCs/>
                <w:iCs/>
                <w:sz w:val="20"/>
                <w:szCs w:val="20"/>
              </w:rPr>
            </w:pPr>
            <w:r>
              <w:rPr>
                <w:rFonts w:ascii="Arial" w:hAnsi="Arial" w:cs="Arial"/>
                <w:bCs/>
                <w:iCs/>
                <w:sz w:val="20"/>
                <w:szCs w:val="20"/>
              </w:rPr>
              <w:t>13% Guaranteed Share based on the ISP sales in CY 2020 (P522.404 million x 13%)</w:t>
            </w:r>
          </w:p>
        </w:tc>
        <w:tc>
          <w:tcPr>
            <w:tcW w:w="2494" w:type="dxa"/>
            <w:tcBorders>
              <w:bottom w:val="single" w:sz="4" w:space="0" w:color="auto"/>
            </w:tcBorders>
            <w:hideMark/>
          </w:tcPr>
          <w:p>
            <w:pPr>
              <w:spacing w:after="0" w:line="240" w:lineRule="auto"/>
              <w:ind w:right="-25"/>
              <w:jc w:val="right"/>
              <w:rPr>
                <w:rFonts w:ascii="Arial" w:hAnsi="Arial" w:cs="Arial"/>
                <w:bCs/>
                <w:iCs/>
                <w:sz w:val="20"/>
                <w:szCs w:val="20"/>
              </w:rPr>
            </w:pPr>
          </w:p>
          <w:p>
            <w:pPr>
              <w:spacing w:after="0" w:line="240" w:lineRule="auto"/>
              <w:ind w:right="-25"/>
              <w:jc w:val="right"/>
              <w:rPr>
                <w:rFonts w:ascii="Arial" w:hAnsi="Arial" w:cs="Arial"/>
                <w:bCs/>
                <w:iCs/>
                <w:sz w:val="20"/>
                <w:szCs w:val="20"/>
              </w:rPr>
            </w:pPr>
            <w:r>
              <w:rPr>
                <w:rFonts w:ascii="Arial" w:hAnsi="Arial" w:cs="Arial"/>
                <w:bCs/>
                <w:iCs/>
                <w:sz w:val="20"/>
                <w:szCs w:val="20"/>
              </w:rPr>
              <w:t>67,912,542.01</w:t>
            </w:r>
          </w:p>
        </w:tc>
      </w:tr>
      <w:tr>
        <w:trPr>
          <w:trHeight w:val="233"/>
        </w:trPr>
        <w:tc>
          <w:tcPr>
            <w:tcW w:w="5528" w:type="dxa"/>
            <w:tcBorders>
              <w:top w:val="single" w:sz="4" w:space="0" w:color="auto"/>
              <w:left w:val="nil"/>
              <w:bottom w:val="double" w:sz="4" w:space="0" w:color="auto"/>
              <w:right w:val="nil"/>
            </w:tcBorders>
            <w:hideMark/>
          </w:tcPr>
          <w:p>
            <w:pPr>
              <w:spacing w:after="0" w:line="240" w:lineRule="auto"/>
              <w:ind w:hanging="105"/>
              <w:jc w:val="both"/>
              <w:rPr>
                <w:rFonts w:ascii="Arial" w:hAnsi="Arial" w:cs="Arial"/>
                <w:b/>
                <w:iCs/>
                <w:sz w:val="20"/>
                <w:szCs w:val="20"/>
              </w:rPr>
            </w:pPr>
            <w:r>
              <w:rPr>
                <w:rFonts w:ascii="Arial" w:hAnsi="Arial" w:cs="Arial"/>
                <w:b/>
                <w:iCs/>
                <w:sz w:val="20"/>
                <w:szCs w:val="20"/>
              </w:rPr>
              <w:t xml:space="preserve">Undercollection  </w:t>
            </w:r>
          </w:p>
        </w:tc>
        <w:tc>
          <w:tcPr>
            <w:tcW w:w="2494" w:type="dxa"/>
            <w:tcBorders>
              <w:top w:val="single" w:sz="4" w:space="0" w:color="auto"/>
              <w:left w:val="nil"/>
              <w:bottom w:val="double" w:sz="4" w:space="0" w:color="auto"/>
              <w:right w:val="nil"/>
            </w:tcBorders>
            <w:hideMark/>
          </w:tcPr>
          <w:p>
            <w:pPr>
              <w:spacing w:after="0" w:line="240" w:lineRule="auto"/>
              <w:ind w:right="-25"/>
              <w:jc w:val="right"/>
              <w:rPr>
                <w:rFonts w:ascii="Arial" w:hAnsi="Arial" w:cs="Arial"/>
                <w:b/>
                <w:iCs/>
                <w:sz w:val="20"/>
                <w:szCs w:val="20"/>
              </w:rPr>
            </w:pPr>
            <w:r>
              <w:rPr>
                <w:rFonts w:ascii="Arial" w:hAnsi="Arial" w:cs="Arial"/>
                <w:b/>
                <w:iCs/>
                <w:sz w:val="20"/>
                <w:szCs w:val="20"/>
              </w:rPr>
              <w:t>P 62,087,457.99</w:t>
            </w:r>
          </w:p>
        </w:tc>
      </w:tr>
    </w:tbl>
    <w:p>
      <w:pPr>
        <w:pStyle w:val="ListParagraph"/>
        <w:ind w:left="1440"/>
        <w:jc w:val="both"/>
        <w:rPr>
          <w:rFonts w:ascii="Arial" w:hAnsi="Arial" w:cs="Arial"/>
          <w:b/>
          <w:sz w:val="22"/>
          <w:szCs w:val="22"/>
        </w:rPr>
      </w:pPr>
      <w:r>
        <w:rPr>
          <w:rFonts w:ascii="Arial" w:hAnsi="Arial" w:cs="Arial"/>
          <w:sz w:val="22"/>
          <w:szCs w:val="22"/>
        </w:rPr>
        <w:t xml:space="preserve">  </w:t>
      </w:r>
    </w:p>
    <w:p>
      <w:pPr>
        <w:pStyle w:val="ListParagraph"/>
        <w:numPr>
          <w:ilvl w:val="1"/>
          <w:numId w:val="19"/>
        </w:numPr>
        <w:ind w:left="1418" w:hanging="709"/>
        <w:jc w:val="both"/>
        <w:rPr>
          <w:rFonts w:ascii="Arial" w:hAnsi="Arial" w:cs="Arial"/>
          <w:b/>
          <w:sz w:val="22"/>
          <w:szCs w:val="22"/>
        </w:rPr>
      </w:pPr>
      <w:r>
        <w:rPr>
          <w:rFonts w:ascii="Arial" w:hAnsi="Arial" w:cs="Arial"/>
          <w:bCs/>
          <w:iCs/>
          <w:sz w:val="22"/>
          <w:szCs w:val="22"/>
        </w:rPr>
        <w:t xml:space="preserve">Inquiry with Management disclosed that the ISAC requested for the re-computation of its payables to PCSO based on the amount of actual sales of the instant sweepstakes for all the months that there was suspension/limitation of its authority to operate.  </w:t>
      </w:r>
    </w:p>
    <w:p>
      <w:pPr>
        <w:pStyle w:val="ListParagraph"/>
        <w:ind w:left="1440"/>
        <w:jc w:val="both"/>
        <w:rPr>
          <w:rFonts w:ascii="Arial" w:hAnsi="Arial" w:cs="Arial"/>
          <w:b/>
          <w:sz w:val="22"/>
          <w:szCs w:val="22"/>
        </w:rPr>
      </w:pPr>
    </w:p>
    <w:p>
      <w:pPr>
        <w:pStyle w:val="ListParagraph"/>
        <w:numPr>
          <w:ilvl w:val="1"/>
          <w:numId w:val="19"/>
        </w:numPr>
        <w:ind w:left="1418" w:hanging="709"/>
        <w:jc w:val="both"/>
        <w:rPr>
          <w:rFonts w:ascii="Arial" w:hAnsi="Arial" w:cs="Arial"/>
          <w:b/>
          <w:sz w:val="22"/>
          <w:szCs w:val="22"/>
        </w:rPr>
      </w:pPr>
      <w:r>
        <w:rPr>
          <w:rFonts w:ascii="Arial" w:hAnsi="Arial" w:cs="Arial"/>
          <w:bCs/>
          <w:iCs/>
          <w:sz w:val="22"/>
          <w:szCs w:val="22"/>
        </w:rPr>
        <w:t>Moreover, the 13% guaranteed shares of the PCSO amounting to P24.212 million computed from the actual sales for the months of March to October 2020 were not yet remitted by the ISAC as of December 31, 2020, as shown in Table 14.</w:t>
      </w:r>
    </w:p>
    <w:p>
      <w:pPr>
        <w:pStyle w:val="ListParagraph"/>
        <w:rPr>
          <w:rFonts w:ascii="Arial" w:hAnsi="Arial" w:cs="Arial"/>
          <w:b/>
          <w:sz w:val="22"/>
          <w:szCs w:val="22"/>
        </w:rPr>
      </w:pPr>
    </w:p>
    <w:p>
      <w:pPr>
        <w:pStyle w:val="ListParagraph"/>
        <w:ind w:left="709"/>
        <w:jc w:val="center"/>
        <w:rPr>
          <w:rFonts w:ascii="Arial" w:hAnsi="Arial" w:cs="Arial"/>
          <w:b/>
          <w:sz w:val="20"/>
          <w:szCs w:val="20"/>
        </w:rPr>
      </w:pPr>
      <w:r>
        <w:rPr>
          <w:rFonts w:ascii="Arial" w:hAnsi="Arial" w:cs="Arial"/>
          <w:b/>
          <w:sz w:val="20"/>
          <w:szCs w:val="20"/>
        </w:rPr>
        <w:t>Table 14 – Unremitted Guaranteed Shares of the PCSO by the ISAC</w:t>
      </w:r>
    </w:p>
    <w:p>
      <w:pPr>
        <w:pStyle w:val="ListParagraph"/>
        <w:ind w:left="1440"/>
        <w:jc w:val="both"/>
        <w:rPr>
          <w:rFonts w:ascii="Arial" w:hAnsi="Arial" w:cs="Arial"/>
          <w:b/>
          <w:sz w:val="22"/>
          <w:szCs w:val="22"/>
        </w:rPr>
      </w:pPr>
    </w:p>
    <w:tbl>
      <w:tblPr>
        <w:tblW w:w="7796" w:type="dxa"/>
        <w:tblInd w:w="846" w:type="dxa"/>
        <w:tblLook w:val="04A0" w:firstRow="1" w:lastRow="0" w:firstColumn="1" w:lastColumn="0" w:noHBand="0" w:noVBand="1"/>
      </w:tblPr>
      <w:tblGrid>
        <w:gridCol w:w="1134"/>
        <w:gridCol w:w="3122"/>
        <w:gridCol w:w="3540"/>
      </w:tblGrid>
      <w:tr>
        <w:trPr>
          <w:trHeight w:val="109"/>
        </w:trPr>
        <w:tc>
          <w:tcPr>
            <w:tcW w:w="1134" w:type="dxa"/>
            <w:tcBorders>
              <w:top w:val="single" w:sz="4" w:space="0" w:color="auto"/>
              <w:bottom w:val="single" w:sz="4" w:space="0" w:color="auto"/>
            </w:tcBorders>
            <w:shd w:val="clear" w:color="auto" w:fill="auto"/>
            <w:noWrap/>
            <w:vAlign w:val="bottom"/>
          </w:tcPr>
          <w:p>
            <w:pPr>
              <w:spacing w:after="0" w:line="240" w:lineRule="auto"/>
              <w:ind w:hanging="112"/>
              <w:rPr>
                <w:rFonts w:ascii="Arial Narrow" w:eastAsia="Times New Roman" w:hAnsi="Arial Narrow" w:cs="Arial"/>
                <w:b/>
                <w:bCs/>
                <w:color w:val="000000"/>
                <w:sz w:val="20"/>
                <w:szCs w:val="20"/>
                <w:lang w:eastAsia="en-PH"/>
              </w:rPr>
            </w:pPr>
            <w:r>
              <w:rPr>
                <w:rFonts w:ascii="Arial Narrow" w:eastAsia="Times New Roman" w:hAnsi="Arial Narrow" w:cs="Arial"/>
                <w:b/>
                <w:bCs/>
                <w:color w:val="000000"/>
                <w:sz w:val="20"/>
                <w:szCs w:val="20"/>
                <w:lang w:eastAsia="en-PH"/>
              </w:rPr>
              <w:t>Month</w:t>
            </w:r>
          </w:p>
        </w:tc>
        <w:tc>
          <w:tcPr>
            <w:tcW w:w="3122" w:type="dxa"/>
            <w:tcBorders>
              <w:top w:val="single" w:sz="4" w:space="0" w:color="auto"/>
              <w:bottom w:val="single" w:sz="4" w:space="0" w:color="auto"/>
            </w:tcBorders>
            <w:shd w:val="clear" w:color="auto" w:fill="auto"/>
            <w:noWrap/>
            <w:vAlign w:val="bottom"/>
          </w:tcPr>
          <w:p>
            <w:pPr>
              <w:spacing w:after="0" w:line="240" w:lineRule="auto"/>
              <w:ind w:hanging="112"/>
              <w:jc w:val="right"/>
              <w:rPr>
                <w:rFonts w:ascii="Arial Narrow" w:eastAsia="Times New Roman" w:hAnsi="Arial Narrow" w:cs="Arial"/>
                <w:b/>
                <w:bCs/>
                <w:color w:val="000000"/>
                <w:sz w:val="20"/>
                <w:szCs w:val="20"/>
                <w:lang w:eastAsia="en-PH"/>
              </w:rPr>
            </w:pPr>
            <w:r>
              <w:rPr>
                <w:rFonts w:ascii="Arial Narrow" w:eastAsia="Times New Roman" w:hAnsi="Arial Narrow" w:cs="Arial"/>
                <w:b/>
                <w:bCs/>
                <w:color w:val="000000"/>
                <w:sz w:val="20"/>
                <w:szCs w:val="20"/>
                <w:lang w:eastAsia="en-PH"/>
              </w:rPr>
              <w:t>Actual Sales for the month</w:t>
            </w:r>
          </w:p>
        </w:tc>
        <w:tc>
          <w:tcPr>
            <w:tcW w:w="3540" w:type="dxa"/>
            <w:tcBorders>
              <w:top w:val="single" w:sz="4" w:space="0" w:color="auto"/>
              <w:bottom w:val="single" w:sz="4" w:space="0" w:color="auto"/>
            </w:tcBorders>
            <w:shd w:val="clear" w:color="auto" w:fill="auto"/>
            <w:noWrap/>
            <w:vAlign w:val="bottom"/>
          </w:tcPr>
          <w:p>
            <w:pPr>
              <w:spacing w:after="0" w:line="240" w:lineRule="auto"/>
              <w:ind w:right="-109" w:hanging="112"/>
              <w:jc w:val="right"/>
              <w:rPr>
                <w:rFonts w:ascii="Arial Narrow" w:eastAsia="Times New Roman" w:hAnsi="Arial Narrow" w:cs="Arial"/>
                <w:b/>
                <w:bCs/>
                <w:color w:val="000000"/>
                <w:sz w:val="20"/>
                <w:szCs w:val="20"/>
                <w:lang w:eastAsia="en-PH"/>
              </w:rPr>
            </w:pPr>
            <w:r>
              <w:rPr>
                <w:rFonts w:ascii="Arial Narrow" w:eastAsia="Times New Roman" w:hAnsi="Arial Narrow" w:cs="Arial"/>
                <w:b/>
                <w:bCs/>
                <w:color w:val="000000"/>
                <w:sz w:val="20"/>
                <w:szCs w:val="20"/>
                <w:lang w:eastAsia="en-PH"/>
              </w:rPr>
              <w:t>Unremitted 13% Guaranteed Share</w:t>
            </w:r>
          </w:p>
        </w:tc>
      </w:tr>
      <w:tr>
        <w:trPr>
          <w:trHeight w:val="123"/>
        </w:trPr>
        <w:tc>
          <w:tcPr>
            <w:tcW w:w="1134" w:type="dxa"/>
            <w:tcBorders>
              <w:top w:val="single" w:sz="4" w:space="0" w:color="auto"/>
            </w:tcBorders>
            <w:shd w:val="clear" w:color="auto" w:fill="auto"/>
            <w:noWrap/>
            <w:vAlign w:val="bottom"/>
            <w:hideMark/>
          </w:tcPr>
          <w:p>
            <w:pPr>
              <w:spacing w:after="0" w:line="240" w:lineRule="auto"/>
              <w:ind w:hanging="112"/>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March </w:t>
            </w:r>
          </w:p>
        </w:tc>
        <w:tc>
          <w:tcPr>
            <w:tcW w:w="3122" w:type="dxa"/>
            <w:tcBorders>
              <w:top w:val="single" w:sz="4" w:space="0" w:color="auto"/>
            </w:tcBorders>
            <w:shd w:val="clear" w:color="auto" w:fill="auto"/>
            <w:noWrap/>
            <w:vAlign w:val="bottom"/>
            <w:hideMark/>
          </w:tcPr>
          <w:p>
            <w:pPr>
              <w:spacing w:after="0" w:line="240" w:lineRule="auto"/>
              <w:ind w:hanging="112"/>
              <w:jc w:val="right"/>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                   41,275,000.00 </w:t>
            </w:r>
          </w:p>
        </w:tc>
        <w:tc>
          <w:tcPr>
            <w:tcW w:w="3540" w:type="dxa"/>
            <w:tcBorders>
              <w:top w:val="single" w:sz="4" w:space="0" w:color="auto"/>
            </w:tcBorders>
            <w:shd w:val="clear" w:color="auto" w:fill="auto"/>
            <w:noWrap/>
            <w:vAlign w:val="bottom"/>
            <w:hideMark/>
          </w:tcPr>
          <w:p>
            <w:pPr>
              <w:spacing w:after="0" w:line="240" w:lineRule="auto"/>
              <w:ind w:right="-109" w:hanging="112"/>
              <w:jc w:val="right"/>
              <w:rPr>
                <w:rFonts w:ascii="Arial Narrow" w:eastAsia="Times New Roman" w:hAnsi="Arial Narrow" w:cs="Arial"/>
                <w:color w:val="000000"/>
                <w:sz w:val="20"/>
                <w:szCs w:val="20"/>
                <w:lang w:eastAsia="en-PH"/>
              </w:rPr>
            </w:pPr>
            <w:r>
              <w:rPr>
                <w:rFonts w:ascii="Arial Narrow" w:hAnsi="Arial Narrow" w:cs="Arial"/>
                <w:color w:val="000000"/>
                <w:sz w:val="20"/>
                <w:szCs w:val="20"/>
              </w:rPr>
              <w:t xml:space="preserve">                 P 5,365,750.00 </w:t>
            </w:r>
          </w:p>
        </w:tc>
      </w:tr>
      <w:tr>
        <w:trPr>
          <w:trHeight w:val="170"/>
        </w:trPr>
        <w:tc>
          <w:tcPr>
            <w:tcW w:w="1134" w:type="dxa"/>
            <w:tcBorders>
              <w:top w:val="nil"/>
            </w:tcBorders>
            <w:shd w:val="clear" w:color="auto" w:fill="auto"/>
            <w:noWrap/>
            <w:vAlign w:val="bottom"/>
            <w:hideMark/>
          </w:tcPr>
          <w:p>
            <w:pPr>
              <w:spacing w:after="0" w:line="240" w:lineRule="auto"/>
              <w:ind w:hanging="112"/>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April </w:t>
            </w:r>
          </w:p>
        </w:tc>
        <w:tc>
          <w:tcPr>
            <w:tcW w:w="3122" w:type="dxa"/>
            <w:tcBorders>
              <w:top w:val="nil"/>
            </w:tcBorders>
            <w:shd w:val="clear" w:color="auto" w:fill="auto"/>
            <w:noWrap/>
            <w:vAlign w:val="bottom"/>
            <w:hideMark/>
          </w:tcPr>
          <w:p>
            <w:pPr>
              <w:spacing w:after="0" w:line="240" w:lineRule="auto"/>
              <w:ind w:hanging="112"/>
              <w:jc w:val="right"/>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         No recorded sales   </w:t>
            </w:r>
          </w:p>
        </w:tc>
        <w:tc>
          <w:tcPr>
            <w:tcW w:w="3540" w:type="dxa"/>
            <w:tcBorders>
              <w:top w:val="nil"/>
            </w:tcBorders>
            <w:shd w:val="clear" w:color="auto" w:fill="auto"/>
            <w:noWrap/>
            <w:vAlign w:val="bottom"/>
            <w:hideMark/>
          </w:tcPr>
          <w:p>
            <w:pPr>
              <w:spacing w:after="0" w:line="240" w:lineRule="auto"/>
              <w:ind w:right="-109" w:hanging="112"/>
              <w:jc w:val="right"/>
              <w:rPr>
                <w:rFonts w:ascii="Arial Narrow" w:eastAsia="Times New Roman" w:hAnsi="Arial Narrow" w:cs="Arial"/>
                <w:color w:val="000000"/>
                <w:sz w:val="20"/>
                <w:szCs w:val="20"/>
                <w:lang w:eastAsia="en-PH"/>
              </w:rPr>
            </w:pPr>
            <w:r>
              <w:rPr>
                <w:rFonts w:ascii="Arial Narrow" w:hAnsi="Arial Narrow" w:cs="Arial"/>
                <w:color w:val="000000"/>
                <w:sz w:val="20"/>
                <w:szCs w:val="20"/>
              </w:rPr>
              <w:t xml:space="preserve">                                      -   </w:t>
            </w:r>
          </w:p>
        </w:tc>
      </w:tr>
      <w:tr>
        <w:trPr>
          <w:trHeight w:val="73"/>
        </w:trPr>
        <w:tc>
          <w:tcPr>
            <w:tcW w:w="1134" w:type="dxa"/>
            <w:tcBorders>
              <w:top w:val="nil"/>
            </w:tcBorders>
            <w:shd w:val="clear" w:color="auto" w:fill="auto"/>
            <w:noWrap/>
            <w:vAlign w:val="bottom"/>
            <w:hideMark/>
          </w:tcPr>
          <w:p>
            <w:pPr>
              <w:spacing w:after="0" w:line="240" w:lineRule="auto"/>
              <w:ind w:hanging="112"/>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May  </w:t>
            </w:r>
          </w:p>
        </w:tc>
        <w:tc>
          <w:tcPr>
            <w:tcW w:w="3122" w:type="dxa"/>
            <w:tcBorders>
              <w:top w:val="nil"/>
            </w:tcBorders>
            <w:shd w:val="clear" w:color="auto" w:fill="auto"/>
            <w:noWrap/>
            <w:vAlign w:val="bottom"/>
            <w:hideMark/>
          </w:tcPr>
          <w:p>
            <w:pPr>
              <w:spacing w:after="0" w:line="240" w:lineRule="auto"/>
              <w:ind w:hanging="112"/>
              <w:jc w:val="right"/>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         No recorded sales</w:t>
            </w:r>
          </w:p>
        </w:tc>
        <w:tc>
          <w:tcPr>
            <w:tcW w:w="3540" w:type="dxa"/>
            <w:tcBorders>
              <w:top w:val="nil"/>
            </w:tcBorders>
            <w:shd w:val="clear" w:color="auto" w:fill="auto"/>
            <w:noWrap/>
            <w:vAlign w:val="bottom"/>
            <w:hideMark/>
          </w:tcPr>
          <w:p>
            <w:pPr>
              <w:spacing w:after="0" w:line="240" w:lineRule="auto"/>
              <w:ind w:right="-109" w:hanging="112"/>
              <w:jc w:val="right"/>
              <w:rPr>
                <w:rFonts w:ascii="Arial Narrow" w:eastAsia="Times New Roman" w:hAnsi="Arial Narrow" w:cs="Arial"/>
                <w:color w:val="000000"/>
                <w:sz w:val="20"/>
                <w:szCs w:val="20"/>
                <w:lang w:eastAsia="en-PH"/>
              </w:rPr>
            </w:pPr>
            <w:r>
              <w:rPr>
                <w:rFonts w:ascii="Arial Narrow" w:hAnsi="Arial Narrow" w:cs="Arial"/>
                <w:color w:val="000000"/>
                <w:sz w:val="20"/>
                <w:szCs w:val="20"/>
              </w:rPr>
              <w:t xml:space="preserve">                                      -   </w:t>
            </w:r>
          </w:p>
        </w:tc>
      </w:tr>
      <w:tr>
        <w:trPr>
          <w:trHeight w:val="119"/>
        </w:trPr>
        <w:tc>
          <w:tcPr>
            <w:tcW w:w="1134" w:type="dxa"/>
            <w:tcBorders>
              <w:top w:val="nil"/>
            </w:tcBorders>
            <w:shd w:val="clear" w:color="auto" w:fill="auto"/>
            <w:noWrap/>
            <w:vAlign w:val="bottom"/>
            <w:hideMark/>
          </w:tcPr>
          <w:p>
            <w:pPr>
              <w:spacing w:after="0" w:line="240" w:lineRule="auto"/>
              <w:ind w:hanging="112"/>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June </w:t>
            </w:r>
          </w:p>
        </w:tc>
        <w:tc>
          <w:tcPr>
            <w:tcW w:w="3122" w:type="dxa"/>
            <w:tcBorders>
              <w:top w:val="nil"/>
            </w:tcBorders>
            <w:shd w:val="clear" w:color="auto" w:fill="auto"/>
            <w:noWrap/>
            <w:vAlign w:val="bottom"/>
            <w:hideMark/>
          </w:tcPr>
          <w:p>
            <w:pPr>
              <w:spacing w:after="0" w:line="240" w:lineRule="auto"/>
              <w:ind w:hanging="112"/>
              <w:jc w:val="right"/>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         No recorded sales           </w:t>
            </w:r>
          </w:p>
        </w:tc>
        <w:tc>
          <w:tcPr>
            <w:tcW w:w="3540" w:type="dxa"/>
            <w:tcBorders>
              <w:top w:val="nil"/>
            </w:tcBorders>
            <w:shd w:val="clear" w:color="auto" w:fill="auto"/>
            <w:noWrap/>
            <w:vAlign w:val="bottom"/>
            <w:hideMark/>
          </w:tcPr>
          <w:p>
            <w:pPr>
              <w:spacing w:after="0" w:line="240" w:lineRule="auto"/>
              <w:ind w:right="-109" w:hanging="112"/>
              <w:jc w:val="right"/>
              <w:rPr>
                <w:rFonts w:ascii="Arial Narrow" w:eastAsia="Times New Roman" w:hAnsi="Arial Narrow" w:cs="Arial"/>
                <w:color w:val="000000"/>
                <w:sz w:val="20"/>
                <w:szCs w:val="20"/>
                <w:lang w:eastAsia="en-PH"/>
              </w:rPr>
            </w:pPr>
            <w:r>
              <w:rPr>
                <w:rFonts w:ascii="Arial Narrow" w:hAnsi="Arial Narrow" w:cs="Arial"/>
                <w:color w:val="000000"/>
                <w:sz w:val="20"/>
                <w:szCs w:val="20"/>
              </w:rPr>
              <w:t xml:space="preserve">                                      -   </w:t>
            </w:r>
          </w:p>
        </w:tc>
      </w:tr>
      <w:tr>
        <w:trPr>
          <w:trHeight w:val="151"/>
        </w:trPr>
        <w:tc>
          <w:tcPr>
            <w:tcW w:w="1134" w:type="dxa"/>
            <w:tcBorders>
              <w:top w:val="nil"/>
            </w:tcBorders>
            <w:shd w:val="clear" w:color="auto" w:fill="auto"/>
            <w:noWrap/>
            <w:vAlign w:val="bottom"/>
            <w:hideMark/>
          </w:tcPr>
          <w:p>
            <w:pPr>
              <w:spacing w:after="0" w:line="240" w:lineRule="auto"/>
              <w:ind w:hanging="112"/>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July  </w:t>
            </w:r>
          </w:p>
        </w:tc>
        <w:tc>
          <w:tcPr>
            <w:tcW w:w="3122" w:type="dxa"/>
            <w:tcBorders>
              <w:top w:val="nil"/>
            </w:tcBorders>
            <w:shd w:val="clear" w:color="auto" w:fill="auto"/>
            <w:noWrap/>
            <w:vAlign w:val="bottom"/>
            <w:hideMark/>
          </w:tcPr>
          <w:p>
            <w:pPr>
              <w:spacing w:after="0" w:line="240" w:lineRule="auto"/>
              <w:ind w:hanging="112"/>
              <w:jc w:val="right"/>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         No recorded sales                                 </w:t>
            </w:r>
          </w:p>
        </w:tc>
        <w:tc>
          <w:tcPr>
            <w:tcW w:w="3540" w:type="dxa"/>
            <w:tcBorders>
              <w:top w:val="nil"/>
            </w:tcBorders>
            <w:shd w:val="clear" w:color="auto" w:fill="auto"/>
            <w:noWrap/>
            <w:vAlign w:val="bottom"/>
            <w:hideMark/>
          </w:tcPr>
          <w:p>
            <w:pPr>
              <w:spacing w:after="0" w:line="240" w:lineRule="auto"/>
              <w:ind w:right="-109" w:hanging="112"/>
              <w:jc w:val="right"/>
              <w:rPr>
                <w:rFonts w:ascii="Arial Narrow" w:eastAsia="Times New Roman" w:hAnsi="Arial Narrow" w:cs="Arial"/>
                <w:color w:val="000000"/>
                <w:sz w:val="20"/>
                <w:szCs w:val="20"/>
                <w:lang w:eastAsia="en-PH"/>
              </w:rPr>
            </w:pPr>
            <w:r>
              <w:rPr>
                <w:rFonts w:ascii="Arial Narrow" w:hAnsi="Arial Narrow" w:cs="Arial"/>
                <w:color w:val="000000"/>
                <w:sz w:val="20"/>
                <w:szCs w:val="20"/>
              </w:rPr>
              <w:t xml:space="preserve">                                      -   </w:t>
            </w:r>
          </w:p>
        </w:tc>
      </w:tr>
      <w:tr>
        <w:trPr>
          <w:trHeight w:val="55"/>
        </w:trPr>
        <w:tc>
          <w:tcPr>
            <w:tcW w:w="1134" w:type="dxa"/>
            <w:tcBorders>
              <w:top w:val="nil"/>
            </w:tcBorders>
            <w:shd w:val="clear" w:color="auto" w:fill="auto"/>
            <w:noWrap/>
            <w:vAlign w:val="bottom"/>
            <w:hideMark/>
          </w:tcPr>
          <w:p>
            <w:pPr>
              <w:spacing w:after="0" w:line="240" w:lineRule="auto"/>
              <w:ind w:hanging="112"/>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August </w:t>
            </w:r>
          </w:p>
        </w:tc>
        <w:tc>
          <w:tcPr>
            <w:tcW w:w="3122" w:type="dxa"/>
            <w:tcBorders>
              <w:top w:val="nil"/>
            </w:tcBorders>
            <w:shd w:val="clear" w:color="auto" w:fill="auto"/>
            <w:noWrap/>
            <w:vAlign w:val="bottom"/>
            <w:hideMark/>
          </w:tcPr>
          <w:p>
            <w:pPr>
              <w:spacing w:after="0" w:line="240" w:lineRule="auto"/>
              <w:ind w:hanging="112"/>
              <w:jc w:val="right"/>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                   17,032,500.00 </w:t>
            </w:r>
          </w:p>
        </w:tc>
        <w:tc>
          <w:tcPr>
            <w:tcW w:w="3540" w:type="dxa"/>
            <w:tcBorders>
              <w:top w:val="nil"/>
            </w:tcBorders>
            <w:shd w:val="clear" w:color="auto" w:fill="auto"/>
            <w:noWrap/>
            <w:vAlign w:val="bottom"/>
            <w:hideMark/>
          </w:tcPr>
          <w:p>
            <w:pPr>
              <w:spacing w:after="0" w:line="240" w:lineRule="auto"/>
              <w:ind w:right="-109" w:hanging="112"/>
              <w:jc w:val="right"/>
              <w:rPr>
                <w:rFonts w:ascii="Arial Narrow" w:eastAsia="Times New Roman" w:hAnsi="Arial Narrow" w:cs="Arial"/>
                <w:color w:val="000000"/>
                <w:sz w:val="20"/>
                <w:szCs w:val="20"/>
                <w:lang w:eastAsia="en-PH"/>
              </w:rPr>
            </w:pPr>
            <w:r>
              <w:rPr>
                <w:rFonts w:ascii="Arial Narrow" w:hAnsi="Arial Narrow" w:cs="Arial"/>
                <w:color w:val="000000"/>
                <w:sz w:val="20"/>
                <w:szCs w:val="20"/>
              </w:rPr>
              <w:t xml:space="preserve">                 2,214,225.00 </w:t>
            </w:r>
          </w:p>
        </w:tc>
      </w:tr>
      <w:tr>
        <w:trPr>
          <w:trHeight w:val="101"/>
        </w:trPr>
        <w:tc>
          <w:tcPr>
            <w:tcW w:w="1134" w:type="dxa"/>
            <w:tcBorders>
              <w:top w:val="nil"/>
            </w:tcBorders>
            <w:shd w:val="clear" w:color="auto" w:fill="auto"/>
            <w:noWrap/>
            <w:vAlign w:val="bottom"/>
            <w:hideMark/>
          </w:tcPr>
          <w:p>
            <w:pPr>
              <w:spacing w:after="0" w:line="240" w:lineRule="auto"/>
              <w:ind w:hanging="112"/>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September </w:t>
            </w:r>
          </w:p>
        </w:tc>
        <w:tc>
          <w:tcPr>
            <w:tcW w:w="3122" w:type="dxa"/>
            <w:tcBorders>
              <w:top w:val="nil"/>
            </w:tcBorders>
            <w:shd w:val="clear" w:color="auto" w:fill="auto"/>
            <w:noWrap/>
            <w:vAlign w:val="bottom"/>
            <w:hideMark/>
          </w:tcPr>
          <w:p>
            <w:pPr>
              <w:spacing w:after="0" w:line="240" w:lineRule="auto"/>
              <w:ind w:hanging="112"/>
              <w:jc w:val="right"/>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                   66,165,000.00 </w:t>
            </w:r>
          </w:p>
        </w:tc>
        <w:tc>
          <w:tcPr>
            <w:tcW w:w="3540" w:type="dxa"/>
            <w:tcBorders>
              <w:top w:val="nil"/>
            </w:tcBorders>
            <w:shd w:val="clear" w:color="auto" w:fill="auto"/>
            <w:noWrap/>
            <w:vAlign w:val="bottom"/>
            <w:hideMark/>
          </w:tcPr>
          <w:p>
            <w:pPr>
              <w:spacing w:after="0" w:line="240" w:lineRule="auto"/>
              <w:ind w:right="-109" w:hanging="112"/>
              <w:jc w:val="right"/>
              <w:rPr>
                <w:rFonts w:ascii="Arial Narrow" w:eastAsia="Times New Roman" w:hAnsi="Arial Narrow" w:cs="Arial"/>
                <w:color w:val="000000"/>
                <w:sz w:val="20"/>
                <w:szCs w:val="20"/>
                <w:lang w:eastAsia="en-PH"/>
              </w:rPr>
            </w:pPr>
            <w:r>
              <w:rPr>
                <w:rFonts w:ascii="Arial Narrow" w:hAnsi="Arial Narrow" w:cs="Arial"/>
                <w:color w:val="000000"/>
                <w:sz w:val="20"/>
                <w:szCs w:val="20"/>
              </w:rPr>
              <w:t xml:space="preserve">                 8,601,450.00 </w:t>
            </w:r>
          </w:p>
        </w:tc>
      </w:tr>
      <w:tr>
        <w:trPr>
          <w:trHeight w:val="47"/>
        </w:trPr>
        <w:tc>
          <w:tcPr>
            <w:tcW w:w="1134" w:type="dxa"/>
            <w:tcBorders>
              <w:bottom w:val="single" w:sz="4" w:space="0" w:color="auto"/>
            </w:tcBorders>
            <w:shd w:val="clear" w:color="auto" w:fill="auto"/>
            <w:noWrap/>
            <w:vAlign w:val="bottom"/>
            <w:hideMark/>
          </w:tcPr>
          <w:p>
            <w:pPr>
              <w:spacing w:after="0" w:line="240" w:lineRule="auto"/>
              <w:ind w:hanging="112"/>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October  </w:t>
            </w:r>
          </w:p>
        </w:tc>
        <w:tc>
          <w:tcPr>
            <w:tcW w:w="3122" w:type="dxa"/>
            <w:tcBorders>
              <w:bottom w:val="single" w:sz="4" w:space="0" w:color="auto"/>
            </w:tcBorders>
            <w:shd w:val="clear" w:color="auto" w:fill="auto"/>
            <w:noWrap/>
            <w:vAlign w:val="bottom"/>
            <w:hideMark/>
          </w:tcPr>
          <w:p>
            <w:pPr>
              <w:spacing w:after="0" w:line="240" w:lineRule="auto"/>
              <w:ind w:hanging="112"/>
              <w:jc w:val="right"/>
              <w:rPr>
                <w:rFonts w:ascii="Arial Narrow" w:eastAsia="Times New Roman" w:hAnsi="Arial Narrow" w:cs="Arial"/>
                <w:color w:val="000000"/>
                <w:sz w:val="20"/>
                <w:szCs w:val="20"/>
                <w:lang w:eastAsia="en-PH"/>
              </w:rPr>
            </w:pPr>
            <w:r>
              <w:rPr>
                <w:rFonts w:ascii="Arial Narrow" w:eastAsia="Times New Roman" w:hAnsi="Arial Narrow" w:cs="Arial"/>
                <w:color w:val="000000"/>
                <w:sz w:val="20"/>
                <w:szCs w:val="20"/>
                <w:lang w:eastAsia="en-PH"/>
              </w:rPr>
              <w:t xml:space="preserve">                   61,775,000.00 </w:t>
            </w:r>
          </w:p>
        </w:tc>
        <w:tc>
          <w:tcPr>
            <w:tcW w:w="3540" w:type="dxa"/>
            <w:tcBorders>
              <w:bottom w:val="single" w:sz="4" w:space="0" w:color="auto"/>
            </w:tcBorders>
            <w:shd w:val="clear" w:color="auto" w:fill="auto"/>
            <w:noWrap/>
            <w:vAlign w:val="bottom"/>
            <w:hideMark/>
          </w:tcPr>
          <w:p>
            <w:pPr>
              <w:spacing w:after="0" w:line="240" w:lineRule="auto"/>
              <w:ind w:right="-109" w:hanging="112"/>
              <w:jc w:val="right"/>
              <w:rPr>
                <w:rFonts w:ascii="Arial Narrow" w:eastAsia="Times New Roman" w:hAnsi="Arial Narrow" w:cs="Arial"/>
                <w:color w:val="000000"/>
                <w:sz w:val="20"/>
                <w:szCs w:val="20"/>
                <w:lang w:eastAsia="en-PH"/>
              </w:rPr>
            </w:pPr>
            <w:r>
              <w:rPr>
                <w:rFonts w:ascii="Arial Narrow" w:hAnsi="Arial Narrow" w:cs="Arial"/>
                <w:color w:val="000000"/>
                <w:sz w:val="20"/>
                <w:szCs w:val="20"/>
              </w:rPr>
              <w:t xml:space="preserve">                 8,030,750.00 </w:t>
            </w:r>
          </w:p>
        </w:tc>
      </w:tr>
      <w:tr>
        <w:trPr>
          <w:trHeight w:val="52"/>
        </w:trPr>
        <w:tc>
          <w:tcPr>
            <w:tcW w:w="1134" w:type="dxa"/>
            <w:tcBorders>
              <w:top w:val="single" w:sz="4" w:space="0" w:color="auto"/>
              <w:bottom w:val="double" w:sz="4" w:space="0" w:color="auto"/>
            </w:tcBorders>
            <w:shd w:val="clear" w:color="auto" w:fill="auto"/>
            <w:noWrap/>
            <w:vAlign w:val="bottom"/>
          </w:tcPr>
          <w:p>
            <w:pPr>
              <w:spacing w:after="0" w:line="240" w:lineRule="auto"/>
              <w:ind w:hanging="112"/>
              <w:rPr>
                <w:rFonts w:ascii="Arial Narrow" w:eastAsia="Times New Roman" w:hAnsi="Arial Narrow" w:cs="Arial"/>
                <w:b/>
                <w:color w:val="000000"/>
                <w:sz w:val="20"/>
                <w:szCs w:val="20"/>
                <w:lang w:eastAsia="en-PH"/>
              </w:rPr>
            </w:pPr>
            <w:r>
              <w:rPr>
                <w:rFonts w:ascii="Arial Narrow" w:eastAsia="Times New Roman" w:hAnsi="Arial Narrow" w:cs="Arial"/>
                <w:b/>
                <w:color w:val="000000"/>
                <w:sz w:val="20"/>
                <w:szCs w:val="20"/>
                <w:lang w:eastAsia="en-PH"/>
              </w:rPr>
              <w:t>Total</w:t>
            </w:r>
          </w:p>
        </w:tc>
        <w:tc>
          <w:tcPr>
            <w:tcW w:w="3122" w:type="dxa"/>
            <w:tcBorders>
              <w:top w:val="single" w:sz="4" w:space="0" w:color="auto"/>
              <w:bottom w:val="double" w:sz="4" w:space="0" w:color="auto"/>
            </w:tcBorders>
            <w:shd w:val="clear" w:color="auto" w:fill="auto"/>
            <w:noWrap/>
            <w:vAlign w:val="bottom"/>
          </w:tcPr>
          <w:p>
            <w:pPr>
              <w:spacing w:after="0" w:line="240" w:lineRule="auto"/>
              <w:ind w:hanging="112"/>
              <w:jc w:val="right"/>
              <w:rPr>
                <w:rFonts w:ascii="Arial Narrow" w:eastAsia="Times New Roman" w:hAnsi="Arial Narrow" w:cs="Arial"/>
                <w:b/>
                <w:color w:val="000000"/>
                <w:sz w:val="20"/>
                <w:szCs w:val="20"/>
                <w:lang w:eastAsia="en-PH"/>
              </w:rPr>
            </w:pPr>
          </w:p>
        </w:tc>
        <w:tc>
          <w:tcPr>
            <w:tcW w:w="3540" w:type="dxa"/>
            <w:tcBorders>
              <w:top w:val="single" w:sz="4" w:space="0" w:color="auto"/>
              <w:bottom w:val="double" w:sz="4" w:space="0" w:color="auto"/>
            </w:tcBorders>
            <w:shd w:val="clear" w:color="auto" w:fill="auto"/>
            <w:noWrap/>
            <w:vAlign w:val="bottom"/>
          </w:tcPr>
          <w:p>
            <w:pPr>
              <w:spacing w:after="0" w:line="240" w:lineRule="auto"/>
              <w:ind w:right="-109" w:hanging="112"/>
              <w:jc w:val="right"/>
              <w:rPr>
                <w:rFonts w:ascii="Arial Narrow" w:hAnsi="Arial Narrow" w:cs="Arial"/>
                <w:b/>
                <w:color w:val="000000"/>
                <w:sz w:val="20"/>
                <w:szCs w:val="20"/>
              </w:rPr>
            </w:pPr>
            <w:r>
              <w:rPr>
                <w:rFonts w:ascii="Arial Narrow" w:hAnsi="Arial Narrow" w:cs="Arial"/>
                <w:b/>
                <w:color w:val="000000"/>
                <w:sz w:val="20"/>
                <w:szCs w:val="20"/>
              </w:rPr>
              <w:t>P24,212,175.00</w:t>
            </w:r>
          </w:p>
        </w:tc>
      </w:tr>
    </w:tbl>
    <w:p>
      <w:pPr>
        <w:jc w:val="both"/>
        <w:rPr>
          <w:rFonts w:ascii="Arial" w:hAnsi="Arial" w:cs="Arial"/>
          <w:b/>
        </w:rPr>
      </w:pPr>
    </w:p>
    <w:p>
      <w:pPr>
        <w:pStyle w:val="ListParagraph"/>
        <w:numPr>
          <w:ilvl w:val="1"/>
          <w:numId w:val="19"/>
        </w:numPr>
        <w:ind w:left="1418" w:hanging="709"/>
        <w:jc w:val="both"/>
        <w:rPr>
          <w:rFonts w:ascii="Arial" w:hAnsi="Arial" w:cs="Arial"/>
          <w:b/>
          <w:sz w:val="22"/>
          <w:szCs w:val="22"/>
        </w:rPr>
      </w:pPr>
      <w:r>
        <w:rPr>
          <w:rFonts w:ascii="Arial" w:hAnsi="Arial" w:cs="Arial"/>
          <w:sz w:val="22"/>
          <w:szCs w:val="22"/>
        </w:rPr>
        <w:lastRenderedPageBreak/>
        <w:t>Management explained that the ISP is a “</w:t>
      </w:r>
      <w:r>
        <w:rPr>
          <w:rFonts w:ascii="Arial" w:hAnsi="Arial" w:cs="Arial"/>
          <w:i/>
          <w:sz w:val="22"/>
          <w:szCs w:val="22"/>
        </w:rPr>
        <w:t>5 Billion pesos for a period of five (5) years or One Billion pesos per year</w:t>
      </w:r>
      <w:r>
        <w:rPr>
          <w:rFonts w:ascii="Arial" w:hAnsi="Arial" w:cs="Arial"/>
          <w:sz w:val="22"/>
          <w:szCs w:val="22"/>
        </w:rPr>
        <w:t xml:space="preserve">” contract.  Whatever is due or payable after the 5-year contract will be demanded by PCSO from the ISAC-PMLC. </w:t>
      </w:r>
    </w:p>
    <w:p>
      <w:pPr>
        <w:pStyle w:val="ListParagraph"/>
        <w:ind w:left="1440"/>
        <w:jc w:val="both"/>
        <w:rPr>
          <w:rFonts w:ascii="Arial" w:hAnsi="Arial" w:cs="Arial"/>
          <w:b/>
          <w:sz w:val="22"/>
          <w:szCs w:val="22"/>
        </w:rPr>
      </w:pPr>
    </w:p>
    <w:p>
      <w:pPr>
        <w:pStyle w:val="ListParagraph"/>
        <w:numPr>
          <w:ilvl w:val="1"/>
          <w:numId w:val="19"/>
        </w:numPr>
        <w:ind w:left="1418" w:hanging="709"/>
        <w:jc w:val="both"/>
        <w:rPr>
          <w:rFonts w:ascii="Arial" w:hAnsi="Arial" w:cs="Arial"/>
          <w:sz w:val="22"/>
          <w:szCs w:val="22"/>
        </w:rPr>
      </w:pPr>
      <w:r>
        <w:rPr>
          <w:rFonts w:ascii="Arial" w:hAnsi="Arial" w:cs="Arial"/>
          <w:bCs/>
          <w:iCs/>
          <w:sz w:val="22"/>
          <w:szCs w:val="22"/>
        </w:rPr>
        <w:t xml:space="preserve">Considering that the annual guaranteed shares of the PCSO was already a settled obligation by the ISAC, hence, the CY 2020 shares was earned and the same should be recognized in the books as income with the corresponding receivable from ISAC pursuant to </w:t>
      </w:r>
      <w:r>
        <w:rPr>
          <w:rFonts w:ascii="Arial" w:eastAsia="Calibri" w:hAnsi="Arial" w:cs="Arial"/>
          <w:sz w:val="22"/>
          <w:szCs w:val="22"/>
        </w:rPr>
        <w:t xml:space="preserve">Paragraph 4.44 of the </w:t>
      </w:r>
      <w:r>
        <w:rPr>
          <w:rFonts w:ascii="Arial" w:hAnsi="Arial" w:cs="Arial"/>
          <w:bCs/>
          <w:color w:val="000000" w:themeColor="text1"/>
          <w:sz w:val="22"/>
          <w:szCs w:val="22"/>
        </w:rPr>
        <w:t>CFGPFR</w:t>
      </w:r>
      <w:r>
        <w:rPr>
          <w:rFonts w:ascii="Arial" w:hAnsi="Arial" w:cs="Arial"/>
          <w:bCs/>
          <w:iCs/>
          <w:sz w:val="22"/>
          <w:szCs w:val="22"/>
        </w:rPr>
        <w:t xml:space="preserve">. </w:t>
      </w:r>
    </w:p>
    <w:p>
      <w:pPr>
        <w:pStyle w:val="ListParagraph"/>
        <w:rPr>
          <w:rFonts w:ascii="Arial" w:hAnsi="Arial" w:cs="Arial"/>
          <w:sz w:val="22"/>
          <w:szCs w:val="22"/>
        </w:rPr>
      </w:pPr>
    </w:p>
    <w:p>
      <w:pPr>
        <w:pStyle w:val="ListParagraph"/>
        <w:numPr>
          <w:ilvl w:val="1"/>
          <w:numId w:val="19"/>
        </w:numPr>
        <w:ind w:left="1418" w:hanging="709"/>
        <w:jc w:val="both"/>
        <w:rPr>
          <w:rFonts w:ascii="Arial" w:hAnsi="Arial" w:cs="Arial"/>
          <w:b/>
          <w:sz w:val="22"/>
          <w:szCs w:val="22"/>
        </w:rPr>
      </w:pPr>
      <w:r>
        <w:rPr>
          <w:rFonts w:ascii="Arial" w:hAnsi="Arial" w:cs="Arial"/>
          <w:b/>
          <w:sz w:val="22"/>
          <w:szCs w:val="22"/>
        </w:rPr>
        <w:t>We recommended and Management agreed to require the ABD to:</w:t>
      </w:r>
    </w:p>
    <w:p>
      <w:pPr>
        <w:spacing w:after="0" w:line="240" w:lineRule="auto"/>
        <w:jc w:val="both"/>
        <w:rPr>
          <w:rFonts w:ascii="Arial" w:hAnsi="Arial" w:cs="Arial"/>
          <w:b/>
        </w:rPr>
      </w:pPr>
    </w:p>
    <w:p>
      <w:pPr>
        <w:pStyle w:val="ListParagraph"/>
        <w:numPr>
          <w:ilvl w:val="0"/>
          <w:numId w:val="10"/>
        </w:numPr>
        <w:ind w:left="1985" w:hanging="567"/>
        <w:jc w:val="both"/>
        <w:rPr>
          <w:rFonts w:ascii="Arial" w:hAnsi="Arial" w:cs="Arial"/>
          <w:b/>
          <w:sz w:val="22"/>
          <w:szCs w:val="22"/>
        </w:rPr>
      </w:pPr>
      <w:r>
        <w:rPr>
          <w:rFonts w:ascii="Arial" w:hAnsi="Arial" w:cs="Arial"/>
          <w:b/>
          <w:sz w:val="22"/>
          <w:szCs w:val="22"/>
        </w:rPr>
        <w:t xml:space="preserve">Recognize in the books the undercollection of the 13 per cent guaranteed shares from the sales of the Instant Sweepstakes for CY 2020 in accordance with the IRR for the ISP; and </w:t>
      </w:r>
    </w:p>
    <w:p>
      <w:pPr>
        <w:pStyle w:val="ListParagraph"/>
        <w:ind w:left="1985"/>
        <w:jc w:val="both"/>
        <w:rPr>
          <w:rFonts w:ascii="Arial" w:hAnsi="Arial" w:cs="Arial"/>
          <w:b/>
          <w:sz w:val="22"/>
          <w:szCs w:val="22"/>
        </w:rPr>
      </w:pPr>
    </w:p>
    <w:p>
      <w:pPr>
        <w:pStyle w:val="ListParagraph"/>
        <w:numPr>
          <w:ilvl w:val="0"/>
          <w:numId w:val="10"/>
        </w:numPr>
        <w:ind w:left="1985" w:hanging="567"/>
        <w:jc w:val="both"/>
        <w:rPr>
          <w:rFonts w:ascii="Arial" w:hAnsi="Arial" w:cs="Arial"/>
          <w:b/>
          <w:sz w:val="22"/>
          <w:szCs w:val="22"/>
        </w:rPr>
      </w:pPr>
      <w:r>
        <w:rPr>
          <w:rFonts w:ascii="Arial" w:hAnsi="Arial" w:cs="Arial"/>
          <w:b/>
          <w:bCs/>
          <w:sz w:val="22"/>
          <w:szCs w:val="22"/>
        </w:rPr>
        <w:t>Collect from the Authorized Distributor the unremitted shares of the PCSO amounting to P24.212 million so that it could be utilized for the various charity programs of the PCSO</w:t>
      </w:r>
      <w:r>
        <w:rPr>
          <w:rFonts w:ascii="Arial" w:hAnsi="Arial" w:cs="Arial"/>
          <w:b/>
          <w:sz w:val="22"/>
          <w:szCs w:val="22"/>
        </w:rPr>
        <w:t>.</w:t>
      </w:r>
    </w:p>
    <w:p>
      <w:pPr>
        <w:pStyle w:val="ListParagraph"/>
        <w:ind w:left="1985"/>
        <w:jc w:val="both"/>
        <w:rPr>
          <w:rFonts w:ascii="Arial" w:hAnsi="Arial" w:cs="Arial"/>
          <w:b/>
          <w:sz w:val="22"/>
          <w:szCs w:val="22"/>
        </w:rPr>
      </w:pPr>
    </w:p>
    <w:p>
      <w:pPr>
        <w:pStyle w:val="ListParagraph"/>
        <w:numPr>
          <w:ilvl w:val="1"/>
          <w:numId w:val="19"/>
        </w:numPr>
        <w:ind w:left="1418" w:hanging="709"/>
        <w:jc w:val="both"/>
        <w:rPr>
          <w:rFonts w:ascii="Arial" w:hAnsi="Arial" w:cs="Arial"/>
          <w:b/>
          <w:sz w:val="22"/>
          <w:szCs w:val="22"/>
        </w:rPr>
      </w:pPr>
      <w:r>
        <w:rPr>
          <w:rFonts w:ascii="Arial" w:hAnsi="Arial" w:cs="Arial"/>
          <w:sz w:val="22"/>
          <w:szCs w:val="22"/>
        </w:rPr>
        <w:t>Management informed that a letter of billing was already sent to ISAC-PMLC on June 29, 2021 for the amount due as of December 31, 2020.</w:t>
      </w: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rPr>
          <w:rFonts w:ascii="Arial" w:hAnsi="Arial" w:cs="Arial"/>
          <w:color w:val="000000" w:themeColor="text1"/>
          <w:sz w:val="22"/>
          <w:szCs w:val="22"/>
        </w:rPr>
      </w:pPr>
    </w:p>
    <w:p>
      <w:pPr>
        <w:pStyle w:val="ListParagraph"/>
        <w:numPr>
          <w:ilvl w:val="0"/>
          <w:numId w:val="2"/>
        </w:numPr>
        <w:ind w:hanging="720"/>
        <w:contextualSpacing/>
        <w:jc w:val="both"/>
        <w:rPr>
          <w:rFonts w:ascii="Arial" w:hAnsi="Arial" w:cs="Arial"/>
          <w:b/>
          <w:u w:val="single"/>
        </w:rPr>
      </w:pPr>
      <w:r>
        <w:rPr>
          <w:rFonts w:ascii="Arial" w:hAnsi="Arial" w:cs="Arial"/>
          <w:b/>
          <w:u w:val="single"/>
        </w:rPr>
        <w:lastRenderedPageBreak/>
        <w:t>NON-FINANCIAL</w:t>
      </w:r>
    </w:p>
    <w:p>
      <w:pPr>
        <w:spacing w:after="0" w:line="240" w:lineRule="auto"/>
        <w:rPr>
          <w:rFonts w:ascii="Arial" w:hAnsi="Arial" w:cs="Arial"/>
        </w:rPr>
      </w:pPr>
    </w:p>
    <w:p>
      <w:pPr>
        <w:pStyle w:val="ListParagraph"/>
        <w:numPr>
          <w:ilvl w:val="0"/>
          <w:numId w:val="6"/>
        </w:numPr>
        <w:ind w:left="709" w:hanging="709"/>
        <w:jc w:val="both"/>
        <w:rPr>
          <w:rFonts w:ascii="Arial" w:hAnsi="Arial" w:cs="Arial"/>
          <w:b/>
          <w:color w:val="000000" w:themeColor="text1"/>
          <w:sz w:val="22"/>
          <w:szCs w:val="22"/>
        </w:rPr>
      </w:pPr>
      <w:r>
        <w:rPr>
          <w:rFonts w:ascii="Arial" w:hAnsi="Arial" w:cs="Arial"/>
          <w:b/>
          <w:color w:val="000000" w:themeColor="text1"/>
          <w:sz w:val="22"/>
          <w:szCs w:val="22"/>
        </w:rPr>
        <w:t>Disbursements in the total amount of P154.212 million, representing payments made to the Philippine Television Network, Inc. (PTNI) for the airtime, production, technical equipment, microwave transmission facility and post production of the PCSO’s lottery draws were not properly supported with a Memorandum of Agreement (MOA), which was not in accordance with the procedure for an Agency to Agency mode of procurement provided under  Annex H of the 2016 Revised Implementing Rules and Regulations (RIRR) of Republic Act (RA) No. 9184, or the government procurement law.</w:t>
      </w:r>
    </w:p>
    <w:p>
      <w:pPr>
        <w:spacing w:after="0" w:line="240" w:lineRule="auto"/>
        <w:ind w:left="709"/>
        <w:contextualSpacing/>
        <w:jc w:val="both"/>
        <w:rPr>
          <w:rFonts w:ascii="Arial" w:hAnsi="Arial" w:cs="Arial"/>
          <w:b/>
        </w:rPr>
      </w:pPr>
    </w:p>
    <w:p>
      <w:pPr>
        <w:pStyle w:val="ListParagraph"/>
        <w:numPr>
          <w:ilvl w:val="1"/>
          <w:numId w:val="20"/>
        </w:numPr>
        <w:ind w:left="1418" w:hanging="709"/>
        <w:contextualSpacing/>
        <w:jc w:val="both"/>
        <w:rPr>
          <w:rFonts w:ascii="Arial" w:hAnsi="Arial" w:cs="Arial"/>
          <w:sz w:val="22"/>
          <w:szCs w:val="22"/>
        </w:rPr>
      </w:pPr>
      <w:r>
        <w:rPr>
          <w:rFonts w:ascii="Arial" w:hAnsi="Arial" w:cs="Arial"/>
          <w:sz w:val="22"/>
          <w:szCs w:val="22"/>
        </w:rPr>
        <w:t>Annex H to the 2016 RIRR of RA No. 9184 provides the procedure to be followed of an Agency-to-Agency mode of procurement, as follows:</w:t>
      </w:r>
    </w:p>
    <w:p>
      <w:pPr>
        <w:pStyle w:val="ListParagraph"/>
        <w:ind w:left="1440"/>
        <w:contextualSpacing/>
        <w:jc w:val="both"/>
        <w:rPr>
          <w:rFonts w:ascii="Arial" w:hAnsi="Arial" w:cs="Arial"/>
          <w:sz w:val="22"/>
          <w:szCs w:val="22"/>
        </w:rPr>
      </w:pPr>
    </w:p>
    <w:p>
      <w:pPr>
        <w:pStyle w:val="ListParagraph"/>
        <w:numPr>
          <w:ilvl w:val="0"/>
          <w:numId w:val="12"/>
        </w:numPr>
        <w:ind w:left="2430" w:right="702" w:hanging="445"/>
        <w:contextualSpacing/>
        <w:jc w:val="both"/>
        <w:rPr>
          <w:rFonts w:ascii="Arial" w:hAnsi="Arial" w:cs="Arial"/>
          <w:i/>
          <w:sz w:val="22"/>
          <w:szCs w:val="22"/>
        </w:rPr>
      </w:pPr>
      <w:r>
        <w:rPr>
          <w:rFonts w:ascii="Arial" w:hAnsi="Arial" w:cs="Arial"/>
          <w:i/>
          <w:sz w:val="22"/>
          <w:szCs w:val="22"/>
        </w:rPr>
        <w:t>Xxxx</w:t>
      </w:r>
    </w:p>
    <w:p>
      <w:pPr>
        <w:pStyle w:val="ListParagraph"/>
        <w:numPr>
          <w:ilvl w:val="0"/>
          <w:numId w:val="12"/>
        </w:numPr>
        <w:ind w:left="2430" w:right="702" w:hanging="445"/>
        <w:contextualSpacing/>
        <w:jc w:val="both"/>
        <w:rPr>
          <w:rFonts w:ascii="Arial" w:hAnsi="Arial" w:cs="Arial"/>
          <w:i/>
          <w:sz w:val="22"/>
          <w:szCs w:val="22"/>
        </w:rPr>
      </w:pPr>
      <w:r>
        <w:rPr>
          <w:rFonts w:ascii="Arial" w:hAnsi="Arial" w:cs="Arial"/>
          <w:i/>
          <w:sz w:val="22"/>
          <w:szCs w:val="22"/>
        </w:rPr>
        <w:t>Xxxx</w:t>
      </w:r>
    </w:p>
    <w:p>
      <w:pPr>
        <w:pStyle w:val="ListParagraph"/>
        <w:numPr>
          <w:ilvl w:val="0"/>
          <w:numId w:val="12"/>
        </w:numPr>
        <w:ind w:left="2430" w:right="702" w:hanging="445"/>
        <w:contextualSpacing/>
        <w:jc w:val="both"/>
        <w:rPr>
          <w:rFonts w:ascii="Arial" w:hAnsi="Arial" w:cs="Arial"/>
          <w:i/>
          <w:sz w:val="22"/>
          <w:szCs w:val="22"/>
        </w:rPr>
      </w:pPr>
      <w:r>
        <w:rPr>
          <w:rFonts w:ascii="Arial" w:hAnsi="Arial" w:cs="Arial"/>
          <w:i/>
          <w:sz w:val="22"/>
          <w:szCs w:val="22"/>
        </w:rPr>
        <w:t>Based on the assessment and recommendation of the End-User unit, the BAC shall issue a Resolution recommending the use of Agency to-Agency Agreement to the HOPE.</w:t>
      </w:r>
    </w:p>
    <w:p>
      <w:pPr>
        <w:pStyle w:val="ListParagraph"/>
        <w:numPr>
          <w:ilvl w:val="0"/>
          <w:numId w:val="12"/>
        </w:numPr>
        <w:ind w:left="2430" w:right="702" w:hanging="445"/>
        <w:contextualSpacing/>
        <w:jc w:val="both"/>
        <w:rPr>
          <w:rFonts w:ascii="Arial" w:hAnsi="Arial" w:cs="Arial"/>
          <w:i/>
          <w:sz w:val="22"/>
          <w:szCs w:val="22"/>
        </w:rPr>
      </w:pPr>
      <w:r>
        <w:rPr>
          <w:rFonts w:ascii="Arial" w:hAnsi="Arial" w:cs="Arial"/>
          <w:i/>
          <w:sz w:val="22"/>
          <w:szCs w:val="22"/>
        </w:rPr>
        <w:t xml:space="preserve">In case of approval, </w:t>
      </w:r>
      <w:r>
        <w:rPr>
          <w:rFonts w:ascii="Arial" w:hAnsi="Arial" w:cs="Arial"/>
          <w:b/>
          <w:i/>
          <w:sz w:val="22"/>
          <w:szCs w:val="22"/>
        </w:rPr>
        <w:t xml:space="preserve">the HOPE shall enter into a Memorandum of Agreement (MOA) with the Servicing Agency. </w:t>
      </w:r>
      <w:r>
        <w:rPr>
          <w:rFonts w:ascii="Arial" w:hAnsi="Arial" w:cs="Arial"/>
          <w:sz w:val="22"/>
          <w:szCs w:val="22"/>
        </w:rPr>
        <w:t>(Emphasis supplied)</w:t>
      </w:r>
    </w:p>
    <w:p>
      <w:pPr>
        <w:spacing w:after="0" w:line="240" w:lineRule="auto"/>
        <w:ind w:right="691"/>
        <w:contextualSpacing/>
        <w:jc w:val="both"/>
        <w:rPr>
          <w:rFonts w:ascii="Arial" w:hAnsi="Arial" w:cs="Arial"/>
          <w:i/>
        </w:rPr>
      </w:pPr>
    </w:p>
    <w:p>
      <w:pPr>
        <w:pStyle w:val="ListParagraph"/>
        <w:numPr>
          <w:ilvl w:val="1"/>
          <w:numId w:val="20"/>
        </w:numPr>
        <w:ind w:left="1418" w:hanging="709"/>
        <w:contextualSpacing/>
        <w:jc w:val="both"/>
        <w:rPr>
          <w:rFonts w:ascii="Arial" w:hAnsi="Arial" w:cs="Arial"/>
          <w:sz w:val="22"/>
          <w:szCs w:val="22"/>
        </w:rPr>
      </w:pPr>
      <w:r>
        <w:rPr>
          <w:rFonts w:ascii="Arial" w:hAnsi="Arial" w:cs="Arial"/>
          <w:sz w:val="22"/>
          <w:szCs w:val="22"/>
        </w:rPr>
        <w:t xml:space="preserve">It was noted that the payments made to the PTNI from January 2019 to March 2020 totaling P154.212 million (Table 14) were not supported with a MOA, contrary to the above-stated provisions.  </w:t>
      </w:r>
      <w:r>
        <w:rPr>
          <w:rFonts w:ascii="Arial" w:hAnsi="Arial" w:cs="Arial"/>
          <w:iCs/>
          <w:sz w:val="22"/>
          <w:szCs w:val="22"/>
        </w:rPr>
        <w:t xml:space="preserve"> </w:t>
      </w:r>
    </w:p>
    <w:p>
      <w:pPr>
        <w:pStyle w:val="ListParagraph"/>
        <w:contextualSpacing/>
        <w:jc w:val="center"/>
        <w:rPr>
          <w:rFonts w:ascii="Arial" w:hAnsi="Arial" w:cs="Arial"/>
          <w:sz w:val="22"/>
          <w:szCs w:val="22"/>
        </w:rPr>
      </w:pPr>
    </w:p>
    <w:p>
      <w:pPr>
        <w:pStyle w:val="ListParagraph"/>
        <w:contextualSpacing/>
        <w:jc w:val="center"/>
        <w:rPr>
          <w:rFonts w:ascii="Arial" w:hAnsi="Arial" w:cs="Arial"/>
          <w:b/>
          <w:color w:val="000000" w:themeColor="text1"/>
          <w:sz w:val="20"/>
          <w:szCs w:val="20"/>
        </w:rPr>
      </w:pPr>
      <w:r>
        <w:rPr>
          <w:rFonts w:ascii="Arial" w:hAnsi="Arial" w:cs="Arial"/>
          <w:b/>
          <w:color w:val="000000" w:themeColor="text1"/>
          <w:sz w:val="20"/>
          <w:szCs w:val="20"/>
        </w:rPr>
        <w:t>Table 14- Payments Made to PTNI</w:t>
      </w:r>
    </w:p>
    <w:p>
      <w:pPr>
        <w:pStyle w:val="ListParagraph"/>
        <w:contextualSpacing/>
        <w:jc w:val="center"/>
        <w:rPr>
          <w:rFonts w:ascii="Arial" w:hAnsi="Arial" w:cs="Arial"/>
          <w:b/>
          <w:color w:val="000000" w:themeColor="text1"/>
          <w:sz w:val="20"/>
          <w:szCs w:val="20"/>
        </w:rPr>
      </w:pPr>
    </w:p>
    <w:tbl>
      <w:tblPr>
        <w:tblW w:w="792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5"/>
        <w:gridCol w:w="1965"/>
        <w:gridCol w:w="1890"/>
        <w:gridCol w:w="1980"/>
      </w:tblGrid>
      <w:tr>
        <w:trPr>
          <w:trHeight w:val="257"/>
          <w:tblHeader/>
        </w:trPr>
        <w:tc>
          <w:tcPr>
            <w:tcW w:w="2085" w:type="dxa"/>
            <w:tcBorders>
              <w:top w:val="single" w:sz="4" w:space="0" w:color="auto"/>
              <w:left w:val="nil"/>
              <w:bottom w:val="single" w:sz="4" w:space="0" w:color="auto"/>
              <w:right w:val="nil"/>
            </w:tcBorders>
            <w:vAlign w:val="bottom"/>
            <w:hideMark/>
          </w:tcPr>
          <w:p>
            <w:pPr>
              <w:spacing w:after="0" w:line="240" w:lineRule="auto"/>
              <w:ind w:hanging="114"/>
              <w:rPr>
                <w:rFonts w:ascii="Arial Narrow" w:eastAsia="Times New Roman" w:hAnsi="Arial Narrow" w:cs="Arial"/>
                <w:b/>
                <w:bCs/>
                <w:color w:val="000000" w:themeColor="text1"/>
                <w:sz w:val="20"/>
                <w:szCs w:val="20"/>
                <w:lang w:eastAsia="en-PH"/>
              </w:rPr>
            </w:pPr>
            <w:r>
              <w:rPr>
                <w:rFonts w:ascii="Arial Narrow" w:eastAsia="Times New Roman" w:hAnsi="Arial Narrow" w:cs="Arial"/>
                <w:b/>
                <w:bCs/>
                <w:color w:val="000000" w:themeColor="text1"/>
                <w:sz w:val="20"/>
                <w:szCs w:val="20"/>
                <w:lang w:eastAsia="en-PH"/>
              </w:rPr>
              <w:t>Period Covered</w:t>
            </w:r>
          </w:p>
        </w:tc>
        <w:tc>
          <w:tcPr>
            <w:tcW w:w="1965" w:type="dxa"/>
            <w:tcBorders>
              <w:top w:val="single" w:sz="4" w:space="0" w:color="auto"/>
              <w:left w:val="nil"/>
              <w:bottom w:val="single" w:sz="4" w:space="0" w:color="auto"/>
              <w:right w:val="nil"/>
            </w:tcBorders>
            <w:noWrap/>
            <w:vAlign w:val="bottom"/>
            <w:hideMark/>
          </w:tcPr>
          <w:p>
            <w:pPr>
              <w:spacing w:after="0" w:line="240" w:lineRule="auto"/>
              <w:jc w:val="center"/>
              <w:rPr>
                <w:rFonts w:ascii="Arial Narrow" w:eastAsia="Times New Roman" w:hAnsi="Arial Narrow" w:cs="Arial"/>
                <w:b/>
                <w:bCs/>
                <w:color w:val="000000" w:themeColor="text1"/>
                <w:sz w:val="20"/>
                <w:szCs w:val="20"/>
                <w:lang w:eastAsia="en-PH"/>
              </w:rPr>
            </w:pPr>
            <w:r>
              <w:rPr>
                <w:rFonts w:ascii="Arial Narrow" w:eastAsia="Times New Roman" w:hAnsi="Arial Narrow" w:cs="Arial"/>
                <w:b/>
                <w:bCs/>
                <w:color w:val="000000" w:themeColor="text1"/>
                <w:sz w:val="20"/>
                <w:szCs w:val="20"/>
                <w:lang w:eastAsia="en-PH"/>
              </w:rPr>
              <w:t>Check No.</w:t>
            </w:r>
          </w:p>
        </w:tc>
        <w:tc>
          <w:tcPr>
            <w:tcW w:w="1890" w:type="dxa"/>
            <w:tcBorders>
              <w:top w:val="single" w:sz="4" w:space="0" w:color="auto"/>
              <w:left w:val="nil"/>
              <w:bottom w:val="single" w:sz="4" w:space="0" w:color="auto"/>
              <w:right w:val="nil"/>
            </w:tcBorders>
            <w:noWrap/>
            <w:vAlign w:val="bottom"/>
            <w:hideMark/>
          </w:tcPr>
          <w:p>
            <w:pPr>
              <w:spacing w:after="0" w:line="240" w:lineRule="auto"/>
              <w:jc w:val="center"/>
              <w:rPr>
                <w:rFonts w:ascii="Arial Narrow" w:eastAsia="Times New Roman" w:hAnsi="Arial Narrow" w:cs="Arial"/>
                <w:b/>
                <w:bCs/>
                <w:color w:val="000000" w:themeColor="text1"/>
                <w:sz w:val="20"/>
                <w:szCs w:val="20"/>
                <w:lang w:eastAsia="en-PH"/>
              </w:rPr>
            </w:pPr>
            <w:r>
              <w:rPr>
                <w:rFonts w:ascii="Arial Narrow" w:eastAsia="Times New Roman" w:hAnsi="Arial Narrow" w:cs="Arial"/>
                <w:b/>
                <w:bCs/>
                <w:color w:val="000000" w:themeColor="text1"/>
                <w:sz w:val="20"/>
                <w:szCs w:val="20"/>
                <w:lang w:eastAsia="en-PH"/>
              </w:rPr>
              <w:t>Check Date</w:t>
            </w:r>
          </w:p>
        </w:tc>
        <w:tc>
          <w:tcPr>
            <w:tcW w:w="1980" w:type="dxa"/>
            <w:tcBorders>
              <w:top w:val="single" w:sz="4" w:space="0" w:color="auto"/>
              <w:left w:val="nil"/>
              <w:bottom w:val="single" w:sz="4" w:space="0" w:color="auto"/>
              <w:right w:val="nil"/>
            </w:tcBorders>
            <w:noWrap/>
            <w:vAlign w:val="bottom"/>
            <w:hideMark/>
          </w:tcPr>
          <w:p>
            <w:pPr>
              <w:spacing w:after="0" w:line="240" w:lineRule="auto"/>
              <w:ind w:right="-110"/>
              <w:jc w:val="right"/>
              <w:rPr>
                <w:rFonts w:ascii="Arial Narrow" w:eastAsia="Times New Roman" w:hAnsi="Arial Narrow" w:cs="Arial"/>
                <w:b/>
                <w:bCs/>
                <w:color w:val="000000" w:themeColor="text1"/>
                <w:sz w:val="20"/>
                <w:szCs w:val="20"/>
                <w:lang w:eastAsia="en-PH"/>
              </w:rPr>
            </w:pPr>
            <w:r>
              <w:rPr>
                <w:rFonts w:ascii="Arial Narrow" w:hAnsi="Arial Narrow" w:cs="Arial"/>
                <w:b/>
                <w:color w:val="000000" w:themeColor="text1"/>
                <w:sz w:val="20"/>
                <w:szCs w:val="20"/>
              </w:rPr>
              <w:t>Gross Amount</w:t>
            </w:r>
          </w:p>
        </w:tc>
      </w:tr>
      <w:tr>
        <w:trPr>
          <w:trHeight w:val="215"/>
        </w:trPr>
        <w:tc>
          <w:tcPr>
            <w:tcW w:w="7920" w:type="dxa"/>
            <w:gridSpan w:val="4"/>
            <w:tcBorders>
              <w:top w:val="single" w:sz="4" w:space="0" w:color="auto"/>
              <w:left w:val="nil"/>
              <w:bottom w:val="nil"/>
              <w:right w:val="nil"/>
            </w:tcBorders>
            <w:vAlign w:val="center"/>
            <w:hideMark/>
          </w:tcPr>
          <w:p>
            <w:pPr>
              <w:spacing w:after="0" w:line="240" w:lineRule="auto"/>
              <w:ind w:hanging="114"/>
              <w:rPr>
                <w:rFonts w:ascii="Arial Narrow" w:eastAsia="Times New Roman" w:hAnsi="Arial Narrow" w:cs="Arial"/>
                <w:b/>
                <w:color w:val="000000" w:themeColor="text1"/>
                <w:sz w:val="20"/>
                <w:szCs w:val="20"/>
                <w:lang w:eastAsia="en-PH"/>
              </w:rPr>
            </w:pPr>
            <w:r>
              <w:rPr>
                <w:rFonts w:ascii="Arial Narrow" w:eastAsia="Times New Roman" w:hAnsi="Arial Narrow" w:cs="Arial"/>
                <w:b/>
                <w:color w:val="000000" w:themeColor="text1"/>
                <w:sz w:val="20"/>
                <w:szCs w:val="20"/>
                <w:lang w:eastAsia="en-PH"/>
              </w:rPr>
              <w:t>CY 2019:</w:t>
            </w:r>
          </w:p>
        </w:tc>
      </w:tr>
      <w:tr>
        <w:trPr>
          <w:trHeight w:val="215"/>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January</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256076</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07/02/19</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P 10,700,000.00</w:t>
            </w:r>
          </w:p>
        </w:tc>
      </w:tr>
      <w:tr>
        <w:trPr>
          <w:trHeight w:val="170"/>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February</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256077</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07/02/19</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179"/>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March</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256111</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07/03/19</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278"/>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April</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256571</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07/16/19</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179"/>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May</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256572</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07/16/19</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89"/>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June</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257129</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08/08/19</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60"/>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July</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258899</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10/22/19</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98"/>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August</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259295</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11/14/19</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98"/>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September</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259458</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11/20/19</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98"/>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October</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259806</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12/04/19</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98"/>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November</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261898</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01/31/20</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98"/>
        </w:trPr>
        <w:tc>
          <w:tcPr>
            <w:tcW w:w="2085" w:type="dxa"/>
            <w:tcBorders>
              <w:top w:val="nil"/>
              <w:left w:val="nil"/>
              <w:bottom w:val="single" w:sz="4" w:space="0" w:color="auto"/>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December</w:t>
            </w:r>
          </w:p>
        </w:tc>
        <w:tc>
          <w:tcPr>
            <w:tcW w:w="1965" w:type="dxa"/>
            <w:tcBorders>
              <w:top w:val="nil"/>
              <w:left w:val="nil"/>
              <w:bottom w:val="single" w:sz="4" w:space="0" w:color="auto"/>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262487</w:t>
            </w:r>
          </w:p>
        </w:tc>
        <w:tc>
          <w:tcPr>
            <w:tcW w:w="1890" w:type="dxa"/>
            <w:tcBorders>
              <w:top w:val="nil"/>
              <w:left w:val="nil"/>
              <w:bottom w:val="single" w:sz="4" w:space="0" w:color="auto"/>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02/18/20</w:t>
            </w:r>
          </w:p>
        </w:tc>
        <w:tc>
          <w:tcPr>
            <w:tcW w:w="1980" w:type="dxa"/>
            <w:tcBorders>
              <w:top w:val="nil"/>
              <w:left w:val="nil"/>
              <w:bottom w:val="single" w:sz="4" w:space="0" w:color="auto"/>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98"/>
        </w:trPr>
        <w:tc>
          <w:tcPr>
            <w:tcW w:w="5940" w:type="dxa"/>
            <w:gridSpan w:val="3"/>
            <w:tcBorders>
              <w:top w:val="single" w:sz="4" w:space="0" w:color="auto"/>
              <w:left w:val="nil"/>
              <w:bottom w:val="single" w:sz="4" w:space="0" w:color="auto"/>
              <w:right w:val="nil"/>
            </w:tcBorders>
            <w:vAlign w:val="center"/>
            <w:hideMark/>
          </w:tcPr>
          <w:p>
            <w:pPr>
              <w:spacing w:after="0" w:line="240" w:lineRule="auto"/>
              <w:ind w:hanging="114"/>
              <w:rPr>
                <w:rFonts w:ascii="Arial Narrow" w:eastAsia="Times New Roman" w:hAnsi="Arial Narrow" w:cs="Arial"/>
                <w:b/>
                <w:color w:val="000000" w:themeColor="text1"/>
                <w:sz w:val="20"/>
                <w:szCs w:val="20"/>
                <w:lang w:eastAsia="en-PH"/>
              </w:rPr>
            </w:pPr>
            <w:r>
              <w:rPr>
                <w:rFonts w:ascii="Arial Narrow" w:eastAsia="Times New Roman" w:hAnsi="Arial Narrow" w:cs="Arial"/>
                <w:b/>
                <w:color w:val="000000" w:themeColor="text1"/>
                <w:sz w:val="20"/>
                <w:szCs w:val="20"/>
                <w:lang w:eastAsia="en-PH"/>
              </w:rPr>
              <w:t>Sub-total</w:t>
            </w:r>
          </w:p>
        </w:tc>
        <w:tc>
          <w:tcPr>
            <w:tcW w:w="1980" w:type="dxa"/>
            <w:tcBorders>
              <w:top w:val="single" w:sz="4" w:space="0" w:color="auto"/>
              <w:left w:val="nil"/>
              <w:bottom w:val="single" w:sz="4" w:space="0" w:color="auto"/>
              <w:right w:val="nil"/>
            </w:tcBorders>
            <w:noWrap/>
            <w:vAlign w:val="center"/>
            <w:hideMark/>
          </w:tcPr>
          <w:p>
            <w:pPr>
              <w:spacing w:after="0" w:line="240" w:lineRule="auto"/>
              <w:ind w:right="-119"/>
              <w:jc w:val="right"/>
              <w:rPr>
                <w:rFonts w:ascii="Arial Narrow" w:eastAsia="Times New Roman" w:hAnsi="Arial Narrow" w:cs="Arial"/>
                <w:b/>
                <w:color w:val="000000" w:themeColor="text1"/>
                <w:sz w:val="20"/>
                <w:szCs w:val="20"/>
                <w:lang w:eastAsia="en-PH"/>
              </w:rPr>
            </w:pPr>
            <w:r>
              <w:rPr>
                <w:rFonts w:ascii="Arial Narrow" w:eastAsia="Times New Roman" w:hAnsi="Arial Narrow" w:cs="Arial"/>
                <w:b/>
                <w:color w:val="000000" w:themeColor="text1"/>
                <w:sz w:val="20"/>
                <w:szCs w:val="20"/>
                <w:lang w:eastAsia="en-PH"/>
              </w:rPr>
              <w:t>128,400,000.00</w:t>
            </w:r>
          </w:p>
        </w:tc>
      </w:tr>
      <w:tr>
        <w:trPr>
          <w:trHeight w:val="98"/>
        </w:trPr>
        <w:tc>
          <w:tcPr>
            <w:tcW w:w="7920" w:type="dxa"/>
            <w:gridSpan w:val="4"/>
            <w:tcBorders>
              <w:top w:val="single" w:sz="4" w:space="0" w:color="auto"/>
              <w:left w:val="nil"/>
              <w:bottom w:val="nil"/>
              <w:right w:val="nil"/>
            </w:tcBorders>
            <w:vAlign w:val="center"/>
            <w:hideMark/>
          </w:tcPr>
          <w:p>
            <w:pPr>
              <w:spacing w:after="0" w:line="240" w:lineRule="auto"/>
              <w:ind w:hanging="114"/>
              <w:rPr>
                <w:rFonts w:ascii="Arial Narrow" w:eastAsia="Times New Roman" w:hAnsi="Arial Narrow" w:cs="Arial"/>
                <w:b/>
                <w:color w:val="000000" w:themeColor="text1"/>
                <w:sz w:val="20"/>
                <w:szCs w:val="20"/>
                <w:lang w:eastAsia="en-PH"/>
              </w:rPr>
            </w:pPr>
            <w:r>
              <w:rPr>
                <w:rFonts w:ascii="Arial Narrow" w:eastAsia="Times New Roman" w:hAnsi="Arial Narrow" w:cs="Arial"/>
                <w:b/>
                <w:color w:val="000000" w:themeColor="text1"/>
                <w:sz w:val="20"/>
                <w:szCs w:val="20"/>
                <w:lang w:eastAsia="en-PH"/>
              </w:rPr>
              <w:t>CY 2020:</w:t>
            </w:r>
          </w:p>
        </w:tc>
      </w:tr>
      <w:tr>
        <w:trPr>
          <w:trHeight w:val="98"/>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January</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267037</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07/16/20</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98"/>
        </w:trPr>
        <w:tc>
          <w:tcPr>
            <w:tcW w:w="2085" w:type="dxa"/>
            <w:tcBorders>
              <w:top w:val="nil"/>
              <w:left w:val="nil"/>
              <w:bottom w:val="nil"/>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February</w:t>
            </w:r>
          </w:p>
        </w:tc>
        <w:tc>
          <w:tcPr>
            <w:tcW w:w="1965"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269692</w:t>
            </w:r>
          </w:p>
        </w:tc>
        <w:tc>
          <w:tcPr>
            <w:tcW w:w="1890" w:type="dxa"/>
            <w:tcBorders>
              <w:top w:val="nil"/>
              <w:left w:val="nil"/>
              <w:bottom w:val="nil"/>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12/21/20</w:t>
            </w:r>
          </w:p>
        </w:tc>
        <w:tc>
          <w:tcPr>
            <w:tcW w:w="1980" w:type="dxa"/>
            <w:tcBorders>
              <w:top w:val="nil"/>
              <w:left w:val="nil"/>
              <w:bottom w:val="nil"/>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10,700,000.00</w:t>
            </w:r>
          </w:p>
        </w:tc>
      </w:tr>
      <w:tr>
        <w:trPr>
          <w:trHeight w:val="98"/>
        </w:trPr>
        <w:tc>
          <w:tcPr>
            <w:tcW w:w="2085" w:type="dxa"/>
            <w:tcBorders>
              <w:top w:val="nil"/>
              <w:left w:val="nil"/>
              <w:bottom w:val="single" w:sz="4" w:space="0" w:color="auto"/>
              <w:right w:val="nil"/>
            </w:tcBorders>
            <w:vAlign w:val="center"/>
            <w:hideMark/>
          </w:tcPr>
          <w:p>
            <w:pPr>
              <w:spacing w:after="0" w:line="240" w:lineRule="auto"/>
              <w:ind w:hanging="114"/>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March 1-17</w:t>
            </w:r>
          </w:p>
        </w:tc>
        <w:tc>
          <w:tcPr>
            <w:tcW w:w="1965" w:type="dxa"/>
            <w:tcBorders>
              <w:top w:val="nil"/>
              <w:left w:val="nil"/>
              <w:bottom w:val="single" w:sz="4" w:space="0" w:color="auto"/>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268337</w:t>
            </w:r>
          </w:p>
        </w:tc>
        <w:tc>
          <w:tcPr>
            <w:tcW w:w="1890" w:type="dxa"/>
            <w:tcBorders>
              <w:top w:val="nil"/>
              <w:left w:val="nil"/>
              <w:bottom w:val="single" w:sz="4" w:space="0" w:color="auto"/>
              <w:right w:val="nil"/>
            </w:tcBorders>
            <w:noWrap/>
            <w:vAlign w:val="center"/>
            <w:hideMark/>
          </w:tcPr>
          <w:p>
            <w:pPr>
              <w:spacing w:after="0" w:line="240" w:lineRule="auto"/>
              <w:ind w:hanging="114"/>
              <w:jc w:val="center"/>
              <w:rPr>
                <w:rFonts w:ascii="Arial Narrow" w:eastAsia="Times New Roman" w:hAnsi="Arial Narrow" w:cs="Arial"/>
                <w:color w:val="000000" w:themeColor="text1"/>
                <w:sz w:val="20"/>
                <w:szCs w:val="20"/>
                <w:lang w:eastAsia="en-PH"/>
              </w:rPr>
            </w:pPr>
            <w:r>
              <w:rPr>
                <w:rFonts w:ascii="Arial Narrow" w:eastAsia="Times New Roman" w:hAnsi="Arial Narrow" w:cs="Arial"/>
                <w:color w:val="000000" w:themeColor="text1"/>
                <w:sz w:val="20"/>
                <w:szCs w:val="20"/>
                <w:lang w:eastAsia="en-PH"/>
              </w:rPr>
              <w:t>10/08/20</w:t>
            </w:r>
          </w:p>
        </w:tc>
        <w:tc>
          <w:tcPr>
            <w:tcW w:w="1980" w:type="dxa"/>
            <w:tcBorders>
              <w:top w:val="nil"/>
              <w:left w:val="nil"/>
              <w:bottom w:val="single" w:sz="4" w:space="0" w:color="auto"/>
              <w:right w:val="nil"/>
            </w:tcBorders>
            <w:noWrap/>
            <w:vAlign w:val="center"/>
            <w:hideMark/>
          </w:tcPr>
          <w:p>
            <w:pPr>
              <w:spacing w:after="0" w:line="240" w:lineRule="auto"/>
              <w:ind w:right="-110"/>
              <w:jc w:val="right"/>
              <w:rPr>
                <w:rFonts w:ascii="Arial Narrow" w:hAnsi="Arial Narrow" w:cs="Arial"/>
                <w:color w:val="000000" w:themeColor="text1"/>
                <w:sz w:val="20"/>
                <w:szCs w:val="20"/>
              </w:rPr>
            </w:pPr>
            <w:r>
              <w:rPr>
                <w:rFonts w:ascii="Arial Narrow" w:hAnsi="Arial Narrow" w:cs="Arial"/>
                <w:color w:val="000000" w:themeColor="text1"/>
                <w:sz w:val="20"/>
                <w:szCs w:val="20"/>
              </w:rPr>
              <w:t>4,412,500.00</w:t>
            </w:r>
          </w:p>
        </w:tc>
      </w:tr>
      <w:tr>
        <w:trPr>
          <w:trHeight w:val="98"/>
        </w:trPr>
        <w:tc>
          <w:tcPr>
            <w:tcW w:w="5940" w:type="dxa"/>
            <w:gridSpan w:val="3"/>
            <w:tcBorders>
              <w:top w:val="single" w:sz="4" w:space="0" w:color="auto"/>
              <w:left w:val="nil"/>
              <w:bottom w:val="single" w:sz="4" w:space="0" w:color="auto"/>
              <w:right w:val="nil"/>
            </w:tcBorders>
            <w:vAlign w:val="center"/>
            <w:hideMark/>
          </w:tcPr>
          <w:p>
            <w:pPr>
              <w:spacing w:after="0" w:line="240" w:lineRule="auto"/>
              <w:ind w:hanging="114"/>
              <w:rPr>
                <w:rFonts w:ascii="Arial Narrow" w:eastAsia="Times New Roman" w:hAnsi="Arial Narrow" w:cs="Arial"/>
                <w:b/>
                <w:color w:val="000000" w:themeColor="text1"/>
                <w:sz w:val="20"/>
                <w:szCs w:val="20"/>
                <w:lang w:eastAsia="en-PH"/>
              </w:rPr>
            </w:pPr>
            <w:r>
              <w:rPr>
                <w:rFonts w:ascii="Arial Narrow" w:eastAsia="Times New Roman" w:hAnsi="Arial Narrow" w:cs="Arial"/>
                <w:b/>
                <w:color w:val="000000" w:themeColor="text1"/>
                <w:sz w:val="20"/>
                <w:szCs w:val="20"/>
                <w:lang w:eastAsia="en-PH"/>
              </w:rPr>
              <w:t>Sub-total</w:t>
            </w:r>
          </w:p>
        </w:tc>
        <w:tc>
          <w:tcPr>
            <w:tcW w:w="1980" w:type="dxa"/>
            <w:tcBorders>
              <w:top w:val="single" w:sz="4" w:space="0" w:color="auto"/>
              <w:left w:val="nil"/>
              <w:bottom w:val="single" w:sz="4" w:space="0" w:color="auto"/>
              <w:right w:val="nil"/>
            </w:tcBorders>
            <w:noWrap/>
            <w:vAlign w:val="center"/>
            <w:hideMark/>
          </w:tcPr>
          <w:p>
            <w:pPr>
              <w:spacing w:after="0" w:line="240" w:lineRule="auto"/>
              <w:ind w:right="-119"/>
              <w:jc w:val="right"/>
              <w:rPr>
                <w:rFonts w:ascii="Arial Narrow" w:eastAsia="Times New Roman" w:hAnsi="Arial Narrow" w:cs="Arial"/>
                <w:b/>
                <w:color w:val="000000" w:themeColor="text1"/>
                <w:sz w:val="20"/>
                <w:szCs w:val="20"/>
                <w:lang w:eastAsia="en-PH"/>
              </w:rPr>
            </w:pPr>
            <w:r>
              <w:rPr>
                <w:rFonts w:ascii="Arial Narrow" w:eastAsia="Times New Roman" w:hAnsi="Arial Narrow" w:cs="Arial"/>
                <w:b/>
                <w:color w:val="000000" w:themeColor="text1"/>
                <w:sz w:val="20"/>
                <w:szCs w:val="20"/>
                <w:lang w:eastAsia="en-PH"/>
              </w:rPr>
              <w:t>25,812,500.00</w:t>
            </w:r>
          </w:p>
        </w:tc>
      </w:tr>
      <w:tr>
        <w:trPr>
          <w:trHeight w:val="60"/>
        </w:trPr>
        <w:tc>
          <w:tcPr>
            <w:tcW w:w="5940" w:type="dxa"/>
            <w:gridSpan w:val="3"/>
            <w:tcBorders>
              <w:top w:val="single" w:sz="4" w:space="0" w:color="auto"/>
              <w:left w:val="nil"/>
              <w:bottom w:val="double" w:sz="4" w:space="0" w:color="auto"/>
              <w:right w:val="nil"/>
            </w:tcBorders>
            <w:vAlign w:val="center"/>
            <w:hideMark/>
          </w:tcPr>
          <w:p>
            <w:pPr>
              <w:spacing w:after="0" w:line="240" w:lineRule="auto"/>
              <w:ind w:hanging="114"/>
              <w:rPr>
                <w:rFonts w:ascii="Arial Narrow" w:eastAsia="Times New Roman" w:hAnsi="Arial Narrow" w:cs="Arial"/>
                <w:b/>
                <w:bCs/>
                <w:color w:val="000000" w:themeColor="text1"/>
                <w:sz w:val="20"/>
                <w:szCs w:val="20"/>
                <w:lang w:eastAsia="en-PH"/>
              </w:rPr>
            </w:pPr>
            <w:r>
              <w:rPr>
                <w:rFonts w:ascii="Arial Narrow" w:eastAsia="Times New Roman" w:hAnsi="Arial Narrow" w:cs="Arial"/>
                <w:b/>
                <w:bCs/>
                <w:color w:val="000000" w:themeColor="text1"/>
                <w:sz w:val="20"/>
                <w:szCs w:val="20"/>
                <w:lang w:eastAsia="en-PH"/>
              </w:rPr>
              <w:t>Grand total</w:t>
            </w:r>
          </w:p>
        </w:tc>
        <w:tc>
          <w:tcPr>
            <w:tcW w:w="1980" w:type="dxa"/>
            <w:tcBorders>
              <w:top w:val="single" w:sz="4" w:space="0" w:color="auto"/>
              <w:left w:val="nil"/>
              <w:bottom w:val="double" w:sz="4" w:space="0" w:color="auto"/>
              <w:right w:val="nil"/>
            </w:tcBorders>
            <w:noWrap/>
            <w:vAlign w:val="center"/>
            <w:hideMark/>
          </w:tcPr>
          <w:p>
            <w:pPr>
              <w:spacing w:after="0" w:line="240" w:lineRule="auto"/>
              <w:ind w:right="-119"/>
              <w:jc w:val="right"/>
              <w:rPr>
                <w:rFonts w:ascii="Arial Narrow" w:eastAsia="Times New Roman" w:hAnsi="Arial Narrow" w:cs="Arial"/>
                <w:b/>
                <w:bCs/>
                <w:color w:val="000000" w:themeColor="text1"/>
                <w:sz w:val="20"/>
                <w:szCs w:val="20"/>
                <w:lang w:eastAsia="en-PH"/>
              </w:rPr>
            </w:pPr>
            <w:r>
              <w:rPr>
                <w:rFonts w:ascii="Arial Narrow" w:eastAsia="Times New Roman" w:hAnsi="Arial Narrow" w:cs="Arial"/>
                <w:b/>
                <w:color w:val="000000" w:themeColor="text1"/>
                <w:sz w:val="20"/>
                <w:szCs w:val="20"/>
                <w:lang w:eastAsia="en-PH"/>
              </w:rPr>
              <w:t>P154,212,500.00</w:t>
            </w:r>
          </w:p>
        </w:tc>
      </w:tr>
    </w:tbl>
    <w:p>
      <w:pPr>
        <w:pStyle w:val="Header"/>
        <w:ind w:firstLine="0"/>
        <w:rPr>
          <w:rFonts w:cs="Arial"/>
          <w:i/>
          <w:sz w:val="22"/>
          <w:szCs w:val="22"/>
        </w:rPr>
      </w:pPr>
    </w:p>
    <w:p>
      <w:pPr>
        <w:pStyle w:val="ListParagraph"/>
        <w:numPr>
          <w:ilvl w:val="1"/>
          <w:numId w:val="20"/>
        </w:numPr>
        <w:ind w:left="1418" w:hanging="709"/>
        <w:contextualSpacing/>
        <w:jc w:val="both"/>
        <w:rPr>
          <w:rFonts w:ascii="Arial" w:hAnsi="Arial" w:cs="Arial"/>
          <w:sz w:val="22"/>
          <w:szCs w:val="22"/>
        </w:rPr>
      </w:pPr>
      <w:r>
        <w:rPr>
          <w:rFonts w:ascii="Arial" w:hAnsi="Arial" w:cs="Arial"/>
          <w:sz w:val="22"/>
          <w:szCs w:val="22"/>
        </w:rPr>
        <w:t xml:space="preserve">Further verification disclosed that the latest MOA entered into by the PCSO with the PTNI expired in December 2018 and was not yet renewed. </w:t>
      </w:r>
    </w:p>
    <w:p>
      <w:pPr>
        <w:pStyle w:val="ListParagraph"/>
        <w:ind w:left="1440"/>
        <w:contextualSpacing/>
        <w:jc w:val="both"/>
        <w:rPr>
          <w:rFonts w:ascii="Arial" w:hAnsi="Arial" w:cs="Arial"/>
          <w:sz w:val="22"/>
          <w:szCs w:val="22"/>
        </w:rPr>
      </w:pPr>
    </w:p>
    <w:p>
      <w:pPr>
        <w:pStyle w:val="ListParagraph"/>
        <w:numPr>
          <w:ilvl w:val="1"/>
          <w:numId w:val="20"/>
        </w:numPr>
        <w:ind w:left="1418" w:hanging="709"/>
        <w:contextualSpacing/>
        <w:jc w:val="both"/>
        <w:rPr>
          <w:rFonts w:ascii="Arial" w:hAnsi="Arial" w:cs="Arial"/>
          <w:sz w:val="22"/>
          <w:szCs w:val="22"/>
        </w:rPr>
      </w:pPr>
      <w:r>
        <w:rPr>
          <w:rFonts w:ascii="Arial" w:hAnsi="Arial" w:cs="Arial"/>
          <w:sz w:val="22"/>
          <w:szCs w:val="22"/>
        </w:rPr>
        <w:t>The absence of a MOA with the PTNI did not serve the best interest of the PCSO as there were no well-defined/concrete terms and conditions that should have bound both parties. In addition, sanctions and penalties, in case of non-fulfillment/partial fulfillment and/or poor rendition of services, cannot be enforced in the absence of a MOA.</w:t>
      </w:r>
    </w:p>
    <w:p>
      <w:pPr>
        <w:pStyle w:val="ListParagraph"/>
        <w:ind w:left="1440"/>
        <w:contextualSpacing/>
        <w:jc w:val="both"/>
        <w:rPr>
          <w:rFonts w:ascii="Arial" w:hAnsi="Arial" w:cs="Arial"/>
          <w:sz w:val="22"/>
          <w:szCs w:val="22"/>
        </w:rPr>
      </w:pPr>
    </w:p>
    <w:p>
      <w:pPr>
        <w:pStyle w:val="ListParagraph"/>
        <w:numPr>
          <w:ilvl w:val="1"/>
          <w:numId w:val="20"/>
        </w:numPr>
        <w:ind w:left="1418" w:hanging="709"/>
        <w:contextualSpacing/>
        <w:jc w:val="both"/>
        <w:rPr>
          <w:rFonts w:ascii="Arial" w:hAnsi="Arial" w:cs="Arial"/>
          <w:color w:val="000000" w:themeColor="text1"/>
          <w:sz w:val="22"/>
          <w:szCs w:val="22"/>
        </w:rPr>
      </w:pPr>
      <w:r>
        <w:rPr>
          <w:rFonts w:ascii="Arial" w:hAnsi="Arial" w:cs="Arial"/>
          <w:b/>
          <w:color w:val="000000" w:themeColor="text1"/>
          <w:sz w:val="22"/>
          <w:szCs w:val="22"/>
        </w:rPr>
        <w:t>We recommended that Management:</w:t>
      </w:r>
    </w:p>
    <w:p>
      <w:pPr>
        <w:pStyle w:val="ListParagraph"/>
        <w:ind w:left="1440"/>
        <w:contextualSpacing/>
        <w:jc w:val="both"/>
        <w:rPr>
          <w:rFonts w:ascii="Arial" w:hAnsi="Arial" w:cs="Arial"/>
          <w:b/>
          <w:color w:val="000000" w:themeColor="text1"/>
          <w:sz w:val="22"/>
          <w:szCs w:val="22"/>
        </w:rPr>
      </w:pPr>
    </w:p>
    <w:p>
      <w:pPr>
        <w:pStyle w:val="ListParagraph"/>
        <w:numPr>
          <w:ilvl w:val="0"/>
          <w:numId w:val="9"/>
        </w:numPr>
        <w:ind w:left="1985" w:hanging="567"/>
        <w:contextualSpacing/>
        <w:jc w:val="both"/>
        <w:rPr>
          <w:rFonts w:ascii="Arial" w:hAnsi="Arial" w:cs="Arial"/>
          <w:color w:val="000000" w:themeColor="text1"/>
          <w:sz w:val="22"/>
          <w:szCs w:val="22"/>
        </w:rPr>
      </w:pPr>
      <w:r>
        <w:rPr>
          <w:rFonts w:ascii="Arial" w:hAnsi="Arial" w:cs="Arial"/>
          <w:b/>
          <w:color w:val="000000" w:themeColor="text1"/>
          <w:sz w:val="22"/>
          <w:szCs w:val="22"/>
        </w:rPr>
        <w:t>Ensure compliance with the provisions embodied under Annex H to the 2016 RIRR of RA No. 9184</w:t>
      </w:r>
      <w:r>
        <w:rPr>
          <w:rFonts w:ascii="Arial" w:hAnsi="Arial" w:cs="Arial"/>
          <w:color w:val="000000" w:themeColor="text1"/>
          <w:sz w:val="22"/>
          <w:szCs w:val="22"/>
        </w:rPr>
        <w:t xml:space="preserve">, </w:t>
      </w:r>
      <w:r>
        <w:rPr>
          <w:rFonts w:ascii="Arial" w:hAnsi="Arial" w:cs="Arial"/>
          <w:b/>
          <w:color w:val="000000" w:themeColor="text1"/>
          <w:sz w:val="22"/>
          <w:szCs w:val="22"/>
        </w:rPr>
        <w:t>particularly on the Agency to Agency mode of procurement; and</w:t>
      </w:r>
    </w:p>
    <w:p>
      <w:pPr>
        <w:pStyle w:val="ListParagraph"/>
        <w:ind w:left="1440"/>
        <w:contextualSpacing/>
        <w:jc w:val="both"/>
        <w:rPr>
          <w:rFonts w:ascii="Arial" w:hAnsi="Arial" w:cs="Arial"/>
          <w:color w:val="000000" w:themeColor="text1"/>
          <w:sz w:val="22"/>
          <w:szCs w:val="22"/>
        </w:rPr>
      </w:pPr>
    </w:p>
    <w:p>
      <w:pPr>
        <w:pStyle w:val="ListParagraph"/>
        <w:numPr>
          <w:ilvl w:val="0"/>
          <w:numId w:val="9"/>
        </w:numPr>
        <w:ind w:left="1985" w:hanging="567"/>
        <w:contextualSpacing/>
        <w:jc w:val="both"/>
        <w:rPr>
          <w:rFonts w:ascii="Arial" w:hAnsi="Arial" w:cs="Arial"/>
          <w:color w:val="000000" w:themeColor="text1"/>
          <w:sz w:val="22"/>
          <w:szCs w:val="22"/>
        </w:rPr>
      </w:pPr>
      <w:r>
        <w:rPr>
          <w:rFonts w:ascii="Arial" w:hAnsi="Arial" w:cs="Arial"/>
          <w:b/>
          <w:color w:val="000000" w:themeColor="text1"/>
          <w:sz w:val="22"/>
          <w:szCs w:val="22"/>
        </w:rPr>
        <w:t>Execute immediately a MOA with the PTNI to protect the best interest of the PCSO.</w:t>
      </w:r>
    </w:p>
    <w:p>
      <w:pPr>
        <w:pStyle w:val="ListParagraph"/>
        <w:rPr>
          <w:rFonts w:ascii="Arial" w:hAnsi="Arial" w:cs="Arial"/>
          <w:sz w:val="22"/>
          <w:szCs w:val="22"/>
        </w:rPr>
      </w:pPr>
    </w:p>
    <w:p>
      <w:pPr>
        <w:pStyle w:val="ListParagraph"/>
        <w:numPr>
          <w:ilvl w:val="1"/>
          <w:numId w:val="20"/>
        </w:numPr>
        <w:ind w:left="1418" w:hanging="709"/>
        <w:contextualSpacing/>
        <w:jc w:val="both"/>
        <w:rPr>
          <w:rFonts w:ascii="Arial" w:hAnsi="Arial" w:cs="Arial"/>
          <w:sz w:val="22"/>
          <w:szCs w:val="22"/>
        </w:rPr>
      </w:pPr>
      <w:r>
        <w:rPr>
          <w:rFonts w:ascii="Arial" w:hAnsi="Arial" w:cs="Arial"/>
          <w:sz w:val="22"/>
          <w:szCs w:val="22"/>
          <w:lang w:val="en-PH"/>
        </w:rPr>
        <w:t>Management explained that:</w:t>
      </w:r>
    </w:p>
    <w:p>
      <w:pPr>
        <w:pStyle w:val="ListParagraph"/>
        <w:ind w:left="1418"/>
        <w:contextualSpacing/>
        <w:jc w:val="both"/>
        <w:rPr>
          <w:rFonts w:ascii="Arial" w:hAnsi="Arial" w:cs="Arial"/>
          <w:sz w:val="22"/>
          <w:szCs w:val="22"/>
          <w:lang w:val="en-PH"/>
        </w:rPr>
      </w:pPr>
    </w:p>
    <w:p>
      <w:pPr>
        <w:pStyle w:val="ListParagraph"/>
        <w:numPr>
          <w:ilvl w:val="1"/>
          <w:numId w:val="12"/>
        </w:numPr>
        <w:ind w:hanging="655"/>
        <w:contextualSpacing/>
        <w:jc w:val="both"/>
        <w:rPr>
          <w:rFonts w:ascii="Arial" w:hAnsi="Arial" w:cs="Arial"/>
          <w:color w:val="000000" w:themeColor="text1"/>
          <w:sz w:val="22"/>
          <w:szCs w:val="22"/>
        </w:rPr>
      </w:pPr>
      <w:r>
        <w:rPr>
          <w:rFonts w:ascii="Arial" w:hAnsi="Arial" w:cs="Arial"/>
          <w:color w:val="000000" w:themeColor="text1"/>
          <w:sz w:val="22"/>
          <w:szCs w:val="22"/>
          <w:lang w:val="en-PH"/>
        </w:rPr>
        <w:t>The payments made to the PTNI were based on Board Resolution (BR) No. 195, series 2020</w:t>
      </w:r>
      <w:r>
        <w:rPr>
          <w:rFonts w:ascii="Arial" w:hAnsi="Arial" w:cs="Arial"/>
          <w:b/>
          <w:i/>
          <w:color w:val="000000" w:themeColor="text1"/>
          <w:sz w:val="22"/>
          <w:szCs w:val="22"/>
          <w:lang w:val="en-PH"/>
        </w:rPr>
        <w:t xml:space="preserve"> </w:t>
      </w:r>
      <w:r>
        <w:rPr>
          <w:rFonts w:ascii="Arial" w:hAnsi="Arial" w:cs="Arial"/>
          <w:color w:val="000000" w:themeColor="text1"/>
          <w:sz w:val="22"/>
          <w:szCs w:val="22"/>
          <w:lang w:val="en-PH"/>
        </w:rPr>
        <w:t>which approved the automatic renewal of the previous MOA with the PTNI on a month-to-month basis, until such time that procurement of services for airtime, broadcasting and livestreaming have been completed under RA No. 9184, pursuant to Article XIV of the MOA perfected on 14 February 2021</w:t>
      </w:r>
      <w:r>
        <w:rPr>
          <w:rFonts w:ascii="Arial" w:hAnsi="Arial" w:cs="Arial"/>
          <w:color w:val="000000" w:themeColor="text1"/>
          <w:sz w:val="22"/>
          <w:szCs w:val="22"/>
        </w:rPr>
        <w:t>.</w:t>
      </w:r>
    </w:p>
    <w:p>
      <w:pPr>
        <w:pStyle w:val="ListParagraph"/>
        <w:ind w:left="1440"/>
        <w:contextualSpacing/>
        <w:jc w:val="both"/>
        <w:rPr>
          <w:rFonts w:ascii="Arial" w:hAnsi="Arial" w:cs="Arial"/>
          <w:sz w:val="22"/>
          <w:szCs w:val="22"/>
        </w:rPr>
      </w:pPr>
    </w:p>
    <w:p>
      <w:pPr>
        <w:pStyle w:val="ListParagraph"/>
        <w:numPr>
          <w:ilvl w:val="1"/>
          <w:numId w:val="12"/>
        </w:numPr>
        <w:ind w:left="2127" w:hanging="709"/>
        <w:contextualSpacing/>
        <w:jc w:val="both"/>
        <w:rPr>
          <w:rFonts w:ascii="Arial" w:hAnsi="Arial" w:cs="Arial"/>
          <w:color w:val="000000" w:themeColor="text1"/>
          <w:sz w:val="22"/>
          <w:szCs w:val="22"/>
        </w:rPr>
      </w:pPr>
      <w:r>
        <w:rPr>
          <w:rFonts w:ascii="Arial" w:hAnsi="Arial" w:cs="Arial"/>
          <w:color w:val="000000" w:themeColor="text1"/>
          <w:sz w:val="22"/>
          <w:szCs w:val="22"/>
          <w:lang w:val="en-PH"/>
        </w:rPr>
        <w:t>The contracts renewing the services of PTNI were drafted for the periods 01 January to 30 June 2020 and 01 July to 31 December 2020, coursed through the Bids and Awards Committee (BAC) and approved by the Board of Directors (BOD).  However, upon endorsement to the Office of the Government Corporate Counsel (OGCC), the renewal and extension of MOA was not given due course, citing the provision on automatic month-to-month extension in the previous contract and advising the execution of a new contract pending compliance with the 2016 RIRR of RA No. 9184. In the absence of the MOA, and using as authority the BR issued covering the approval on the matter, ABD caused the regular payments to said supplier.</w:t>
      </w:r>
    </w:p>
    <w:p>
      <w:pPr>
        <w:pStyle w:val="ListParagraph"/>
        <w:rPr>
          <w:rFonts w:ascii="Arial" w:hAnsi="Arial" w:cs="Arial"/>
          <w:sz w:val="22"/>
          <w:szCs w:val="22"/>
        </w:rPr>
      </w:pPr>
    </w:p>
    <w:p>
      <w:pPr>
        <w:pStyle w:val="ListParagraph"/>
        <w:numPr>
          <w:ilvl w:val="1"/>
          <w:numId w:val="12"/>
        </w:numPr>
        <w:ind w:left="2127" w:hanging="709"/>
        <w:contextualSpacing/>
        <w:jc w:val="both"/>
        <w:rPr>
          <w:rFonts w:ascii="Arial" w:hAnsi="Arial" w:cs="Arial"/>
          <w:color w:val="000000" w:themeColor="text1"/>
          <w:sz w:val="22"/>
          <w:szCs w:val="22"/>
        </w:rPr>
      </w:pPr>
      <w:r>
        <w:rPr>
          <w:rFonts w:ascii="Arial" w:hAnsi="Arial" w:cs="Arial"/>
          <w:color w:val="000000" w:themeColor="text1"/>
          <w:sz w:val="22"/>
          <w:szCs w:val="22"/>
        </w:rPr>
        <w:t xml:space="preserve">Moreover, the Gaming Technology Department (GTD) </w:t>
      </w:r>
      <w:r>
        <w:rPr>
          <w:rFonts w:ascii="Arial" w:hAnsi="Arial" w:cs="Arial"/>
          <w:color w:val="000000" w:themeColor="text1"/>
          <w:sz w:val="22"/>
          <w:szCs w:val="22"/>
          <w:lang w:val="en-PH"/>
        </w:rPr>
        <w:t>has also endorsed to the BAC on June 1, 2021, the documents needed for the procurement of airtime , livestreaming and broadcast services for the PCSO Lottery Draw and Sweepstakes Draw TV Program, for appropriate action. The BAC is presently preparing the bidding documents for the procurement project.</w:t>
      </w:r>
    </w:p>
    <w:p>
      <w:pPr>
        <w:spacing w:after="0" w:line="240" w:lineRule="auto"/>
        <w:contextualSpacing/>
        <w:jc w:val="both"/>
        <w:rPr>
          <w:rFonts w:ascii="Arial" w:hAnsi="Arial" w:cs="Arial"/>
          <w:b/>
        </w:rPr>
      </w:pPr>
    </w:p>
    <w:p>
      <w:pPr>
        <w:pStyle w:val="ListParagraph"/>
        <w:numPr>
          <w:ilvl w:val="1"/>
          <w:numId w:val="20"/>
        </w:numPr>
        <w:ind w:left="1418" w:hanging="709"/>
        <w:contextualSpacing/>
        <w:jc w:val="both"/>
        <w:rPr>
          <w:rFonts w:ascii="Arial" w:hAnsi="Arial" w:cs="Arial"/>
          <w:sz w:val="22"/>
          <w:szCs w:val="22"/>
          <w:lang w:eastAsia="ar-SA"/>
        </w:rPr>
      </w:pPr>
      <w:r>
        <w:rPr>
          <w:rFonts w:ascii="Arial" w:hAnsi="Arial" w:cs="Arial"/>
          <w:sz w:val="22"/>
          <w:szCs w:val="22"/>
        </w:rPr>
        <w:t>As a rejoinder, the Audit Team acknowledged Management’s commitment to implement the recommendations, which will be monitored in the                   CY 2021 audit.</w:t>
      </w:r>
    </w:p>
    <w:p>
      <w:pPr>
        <w:pStyle w:val="ListParagraph"/>
        <w:numPr>
          <w:ilvl w:val="0"/>
          <w:numId w:val="3"/>
        </w:numPr>
        <w:contextualSpacing/>
        <w:jc w:val="both"/>
        <w:rPr>
          <w:rFonts w:ascii="Arial" w:hAnsi="Arial" w:cs="Arial"/>
          <w:vanish/>
          <w:sz w:val="22"/>
          <w:szCs w:val="22"/>
        </w:rPr>
      </w:pPr>
    </w:p>
    <w:p>
      <w:pPr>
        <w:pStyle w:val="ListParagraph"/>
        <w:numPr>
          <w:ilvl w:val="0"/>
          <w:numId w:val="3"/>
        </w:numPr>
        <w:contextualSpacing/>
        <w:jc w:val="both"/>
        <w:rPr>
          <w:rFonts w:ascii="Arial" w:hAnsi="Arial" w:cs="Arial"/>
          <w:vanish/>
          <w:sz w:val="22"/>
          <w:szCs w:val="22"/>
        </w:rPr>
      </w:pPr>
    </w:p>
    <w:p>
      <w:pPr>
        <w:pStyle w:val="ListParagraph"/>
        <w:numPr>
          <w:ilvl w:val="0"/>
          <w:numId w:val="3"/>
        </w:numPr>
        <w:contextualSpacing/>
        <w:jc w:val="both"/>
        <w:rPr>
          <w:rFonts w:ascii="Arial" w:hAnsi="Arial" w:cs="Arial"/>
          <w:vanish/>
          <w:sz w:val="22"/>
          <w:szCs w:val="22"/>
        </w:rPr>
      </w:pPr>
    </w:p>
    <w:p>
      <w:pPr>
        <w:pStyle w:val="ListParagraph"/>
        <w:numPr>
          <w:ilvl w:val="0"/>
          <w:numId w:val="3"/>
        </w:numPr>
        <w:contextualSpacing/>
        <w:jc w:val="both"/>
        <w:rPr>
          <w:rFonts w:ascii="Arial" w:hAnsi="Arial" w:cs="Arial"/>
          <w:vanish/>
          <w:sz w:val="22"/>
          <w:szCs w:val="22"/>
        </w:rPr>
      </w:pPr>
    </w:p>
    <w:p>
      <w:pPr>
        <w:pStyle w:val="ListParagraph"/>
        <w:numPr>
          <w:ilvl w:val="0"/>
          <w:numId w:val="3"/>
        </w:numPr>
        <w:contextualSpacing/>
        <w:jc w:val="both"/>
        <w:rPr>
          <w:rFonts w:ascii="Arial" w:hAnsi="Arial" w:cs="Arial"/>
          <w:vanish/>
          <w:sz w:val="22"/>
          <w:szCs w:val="22"/>
        </w:rPr>
      </w:pPr>
    </w:p>
    <w:p>
      <w:pPr>
        <w:pStyle w:val="ListParagraph"/>
        <w:numPr>
          <w:ilvl w:val="0"/>
          <w:numId w:val="3"/>
        </w:numPr>
        <w:contextualSpacing/>
        <w:jc w:val="both"/>
        <w:rPr>
          <w:rFonts w:ascii="Arial" w:hAnsi="Arial" w:cs="Arial"/>
          <w:vanish/>
          <w:sz w:val="22"/>
          <w:szCs w:val="22"/>
        </w:rPr>
      </w:pPr>
    </w:p>
    <w:p>
      <w:pPr>
        <w:pStyle w:val="ListParagraph"/>
        <w:numPr>
          <w:ilvl w:val="0"/>
          <w:numId w:val="3"/>
        </w:numPr>
        <w:contextualSpacing/>
        <w:jc w:val="both"/>
        <w:rPr>
          <w:rFonts w:ascii="Arial" w:hAnsi="Arial" w:cs="Arial"/>
          <w:vanish/>
          <w:sz w:val="22"/>
          <w:szCs w:val="22"/>
        </w:rPr>
      </w:pPr>
    </w:p>
    <w:p>
      <w:pPr>
        <w:pStyle w:val="ListParagraph"/>
        <w:numPr>
          <w:ilvl w:val="0"/>
          <w:numId w:val="3"/>
        </w:numPr>
        <w:contextualSpacing/>
        <w:jc w:val="both"/>
        <w:rPr>
          <w:rFonts w:ascii="Arial" w:hAnsi="Arial" w:cs="Arial"/>
          <w:vanish/>
          <w:sz w:val="22"/>
          <w:szCs w:val="22"/>
        </w:rPr>
      </w:pPr>
    </w:p>
    <w:p>
      <w:pPr>
        <w:pStyle w:val="ListParagraph"/>
        <w:numPr>
          <w:ilvl w:val="0"/>
          <w:numId w:val="3"/>
        </w:numPr>
        <w:contextualSpacing/>
        <w:jc w:val="both"/>
        <w:rPr>
          <w:rFonts w:ascii="Arial" w:hAnsi="Arial" w:cs="Arial"/>
          <w:vanish/>
          <w:sz w:val="22"/>
          <w:szCs w:val="22"/>
        </w:rPr>
      </w:pPr>
    </w:p>
    <w:p>
      <w:pPr>
        <w:pStyle w:val="ListParagraph"/>
        <w:numPr>
          <w:ilvl w:val="0"/>
          <w:numId w:val="3"/>
        </w:numPr>
        <w:contextualSpacing/>
        <w:jc w:val="both"/>
        <w:rPr>
          <w:rFonts w:ascii="Arial" w:hAnsi="Arial" w:cs="Arial"/>
          <w:vanish/>
          <w:sz w:val="22"/>
          <w:szCs w:val="22"/>
        </w:rPr>
      </w:pPr>
    </w:p>
    <w:p>
      <w:pPr>
        <w:pStyle w:val="ListParagraph"/>
        <w:numPr>
          <w:ilvl w:val="0"/>
          <w:numId w:val="3"/>
        </w:numPr>
        <w:contextualSpacing/>
        <w:jc w:val="both"/>
        <w:rPr>
          <w:rFonts w:ascii="Arial" w:hAnsi="Arial" w:cs="Arial"/>
          <w:vanish/>
          <w:sz w:val="22"/>
          <w:szCs w:val="22"/>
        </w:rPr>
      </w:pPr>
    </w:p>
    <w:p>
      <w:pPr>
        <w:pStyle w:val="ListParagraph"/>
        <w:numPr>
          <w:ilvl w:val="0"/>
          <w:numId w:val="1"/>
        </w:numPr>
        <w:jc w:val="both"/>
        <w:rPr>
          <w:rFonts w:ascii="Arial" w:hAnsi="Arial" w:cs="Arial"/>
          <w:vanish/>
          <w:sz w:val="22"/>
          <w:szCs w:val="22"/>
        </w:rPr>
      </w:pPr>
    </w:p>
    <w:p>
      <w:pPr>
        <w:pStyle w:val="ListParagraph"/>
        <w:numPr>
          <w:ilvl w:val="0"/>
          <w:numId w:val="7"/>
        </w:numPr>
        <w:jc w:val="both"/>
        <w:rPr>
          <w:rFonts w:ascii="Arial" w:hAnsi="Arial" w:cs="Arial"/>
          <w:vanish/>
          <w:sz w:val="22"/>
          <w:szCs w:val="22"/>
        </w:rPr>
      </w:pPr>
    </w:p>
    <w:p>
      <w:pPr>
        <w:pStyle w:val="ListParagraph"/>
        <w:numPr>
          <w:ilvl w:val="0"/>
          <w:numId w:val="7"/>
        </w:numPr>
        <w:jc w:val="both"/>
        <w:rPr>
          <w:rFonts w:ascii="Arial" w:hAnsi="Arial" w:cs="Arial"/>
          <w:vanish/>
          <w:sz w:val="22"/>
          <w:szCs w:val="22"/>
        </w:rPr>
      </w:pPr>
    </w:p>
    <w:p>
      <w:pPr>
        <w:pStyle w:val="ListParagraph"/>
        <w:numPr>
          <w:ilvl w:val="0"/>
          <w:numId w:val="6"/>
        </w:numPr>
        <w:ind w:left="720" w:hanging="720"/>
        <w:jc w:val="both"/>
        <w:rPr>
          <w:rFonts w:ascii="Arial" w:hAnsi="Arial" w:cs="Arial"/>
          <w:b/>
          <w:color w:val="000000" w:themeColor="text1"/>
          <w:sz w:val="22"/>
          <w:szCs w:val="22"/>
        </w:rPr>
      </w:pPr>
      <w:r>
        <w:rPr>
          <w:rFonts w:ascii="Arial" w:hAnsi="Arial" w:cs="Arial"/>
          <w:b/>
          <w:color w:val="000000" w:themeColor="text1"/>
          <w:sz w:val="22"/>
          <w:szCs w:val="22"/>
          <w:lang w:eastAsia="en-PH"/>
        </w:rPr>
        <w:t xml:space="preserve">The implementation of the </w:t>
      </w:r>
      <w:r>
        <w:rPr>
          <w:rFonts w:ascii="Arial" w:hAnsi="Arial" w:cs="Arial"/>
          <w:b/>
          <w:color w:val="000000" w:themeColor="text1"/>
          <w:sz w:val="22"/>
          <w:szCs w:val="22"/>
        </w:rPr>
        <w:t>Medical Transport Vehicle Donation Program (MTVDP), particularly those pertaining to the Emergency  Medical Service Vehicles (EMSVs) and Patient Transport Vehicles (PTVs) released to the approved beneficiaries/recipients during CYs 2019 and 2020 disclosed the following deficiencies:</w:t>
      </w:r>
    </w:p>
    <w:p>
      <w:pPr>
        <w:pStyle w:val="ListParagraph"/>
        <w:jc w:val="both"/>
        <w:rPr>
          <w:rFonts w:ascii="Arial" w:hAnsi="Arial" w:cs="Arial"/>
          <w:b/>
          <w:lang w:eastAsia="en-PH"/>
        </w:rPr>
      </w:pPr>
    </w:p>
    <w:p>
      <w:pPr>
        <w:pStyle w:val="ListParagraph"/>
        <w:numPr>
          <w:ilvl w:val="4"/>
          <w:numId w:val="12"/>
        </w:numPr>
        <w:ind w:left="1418" w:hanging="709"/>
        <w:jc w:val="both"/>
        <w:rPr>
          <w:rFonts w:ascii="Arial" w:hAnsi="Arial" w:cs="Arial"/>
          <w:b/>
          <w:color w:val="000000" w:themeColor="text1"/>
          <w:sz w:val="22"/>
          <w:szCs w:val="22"/>
        </w:rPr>
      </w:pPr>
      <w:r>
        <w:rPr>
          <w:rFonts w:ascii="Arial" w:hAnsi="Arial" w:cs="Arial"/>
          <w:b/>
          <w:color w:val="000000" w:themeColor="text1"/>
          <w:sz w:val="22"/>
          <w:szCs w:val="22"/>
        </w:rPr>
        <w:t>Forty-five (45) units EMSV were purchased upon the approval of the PCSO Board despite that only 42 beneficiaries were identified and approved by the same Board, resulting in excess purchases of three (3) units costing P7.044 million that remained idle and not put into productive use as of December 31, 2020;</w:t>
      </w:r>
    </w:p>
    <w:p>
      <w:pPr>
        <w:pStyle w:val="ListParagraph"/>
        <w:ind w:left="1440"/>
        <w:jc w:val="both"/>
        <w:rPr>
          <w:rFonts w:ascii="Arial" w:hAnsi="Arial" w:cs="Arial"/>
          <w:b/>
          <w:color w:val="000000" w:themeColor="text1"/>
          <w:sz w:val="22"/>
          <w:szCs w:val="22"/>
        </w:rPr>
      </w:pPr>
    </w:p>
    <w:p>
      <w:pPr>
        <w:pStyle w:val="ListParagraph"/>
        <w:numPr>
          <w:ilvl w:val="4"/>
          <w:numId w:val="12"/>
        </w:numPr>
        <w:ind w:left="1418" w:hanging="709"/>
        <w:jc w:val="both"/>
        <w:rPr>
          <w:rFonts w:ascii="Arial" w:hAnsi="Arial" w:cs="Arial"/>
          <w:b/>
          <w:color w:val="000000" w:themeColor="text1"/>
          <w:sz w:val="22"/>
          <w:szCs w:val="22"/>
        </w:rPr>
      </w:pPr>
      <w:r>
        <w:rPr>
          <w:rFonts w:ascii="Arial" w:hAnsi="Arial" w:cs="Arial"/>
          <w:b/>
          <w:color w:val="000000" w:themeColor="text1"/>
          <w:sz w:val="22"/>
          <w:szCs w:val="22"/>
        </w:rPr>
        <w:t xml:space="preserve">Beneficiaries of the 42 units EMSV did not submit the proof of registration with the Department of Health (DOH) as Ambulance Service Provider (ASP), contrary to the requirement under Section XII (A.3) of the Guidelines for the PCSO MTVDP, </w:t>
      </w:r>
      <w:r>
        <w:rPr>
          <w:rFonts w:ascii="Arial" w:hAnsi="Arial" w:cs="Arial"/>
          <w:b/>
          <w:sz w:val="22"/>
          <w:szCs w:val="22"/>
        </w:rPr>
        <w:t>casting doubt on whether the donated EMSVs have been approved as ambulances</w:t>
      </w:r>
      <w:r>
        <w:rPr>
          <w:rFonts w:ascii="Arial" w:hAnsi="Arial" w:cs="Arial"/>
          <w:b/>
          <w:color w:val="000000" w:themeColor="text1"/>
          <w:sz w:val="22"/>
          <w:szCs w:val="22"/>
        </w:rPr>
        <w:t>; and</w:t>
      </w:r>
    </w:p>
    <w:p>
      <w:pPr>
        <w:pStyle w:val="ListParagraph"/>
        <w:rPr>
          <w:rFonts w:ascii="Arial" w:hAnsi="Arial" w:cs="Arial"/>
          <w:b/>
          <w:color w:val="000000" w:themeColor="text1"/>
          <w:sz w:val="22"/>
          <w:szCs w:val="22"/>
        </w:rPr>
      </w:pPr>
    </w:p>
    <w:p>
      <w:pPr>
        <w:pStyle w:val="ListParagraph"/>
        <w:numPr>
          <w:ilvl w:val="4"/>
          <w:numId w:val="12"/>
        </w:numPr>
        <w:ind w:left="1418" w:hanging="709"/>
        <w:jc w:val="both"/>
        <w:rPr>
          <w:rFonts w:ascii="Arial" w:hAnsi="Arial" w:cs="Arial"/>
          <w:b/>
          <w:sz w:val="22"/>
          <w:szCs w:val="22"/>
        </w:rPr>
      </w:pPr>
      <w:r>
        <w:rPr>
          <w:rFonts w:ascii="Arial" w:hAnsi="Arial" w:cs="Arial"/>
          <w:b/>
          <w:color w:val="000000" w:themeColor="text1"/>
          <w:sz w:val="22"/>
          <w:szCs w:val="22"/>
        </w:rPr>
        <w:t xml:space="preserve">The release of the 293 units of PTV amounting to P464.423 million were not supported with the grant release documentations to </w:t>
      </w:r>
      <w:r>
        <w:rPr>
          <w:rFonts w:ascii="Arial" w:hAnsi="Arial" w:cs="Arial"/>
          <w:b/>
          <w:sz w:val="22"/>
          <w:szCs w:val="22"/>
        </w:rPr>
        <w:t xml:space="preserve">prove that these units were turned over and accepted by the beneficiaries, contrary to </w:t>
      </w:r>
      <w:r>
        <w:rPr>
          <w:rFonts w:ascii="Arial" w:hAnsi="Arial" w:cs="Arial"/>
          <w:b/>
          <w:color w:val="000000" w:themeColor="text1"/>
          <w:sz w:val="22"/>
          <w:szCs w:val="22"/>
        </w:rPr>
        <w:t>Section XI (4) of the Guidelines for the MTVDP.</w:t>
      </w:r>
    </w:p>
    <w:p>
      <w:pPr>
        <w:spacing w:after="0"/>
        <w:jc w:val="both"/>
        <w:rPr>
          <w:rFonts w:ascii="Arial" w:hAnsi="Arial" w:cs="Arial"/>
          <w:b/>
        </w:rPr>
      </w:pPr>
    </w:p>
    <w:p>
      <w:pPr>
        <w:pStyle w:val="ListParagraph"/>
        <w:ind w:right="2941"/>
        <w:jc w:val="both"/>
        <w:rPr>
          <w:rFonts w:ascii="Arial" w:hAnsi="Arial" w:cs="Arial"/>
          <w:i/>
          <w:sz w:val="22"/>
          <w:szCs w:val="22"/>
        </w:rPr>
      </w:pPr>
      <w:r>
        <w:rPr>
          <w:rFonts w:ascii="Arial" w:hAnsi="Arial" w:cs="Arial"/>
          <w:i/>
          <w:sz w:val="22"/>
          <w:szCs w:val="22"/>
        </w:rPr>
        <w:t>Forty-five (45) units EMSV were purchased upon the approval of the PCSO Board despite that only 42 beneficiaries were identified and approved by the same Board, resulting in excess purchases of three (3) units costing P7.044 million that remained idle and not put into productive use as of December 31, 2020</w:t>
      </w:r>
    </w:p>
    <w:p>
      <w:pPr>
        <w:pStyle w:val="ListParagraph"/>
        <w:ind w:left="426"/>
        <w:jc w:val="both"/>
        <w:rPr>
          <w:rFonts w:ascii="Arial" w:hAnsi="Arial" w:cs="Arial"/>
          <w:b/>
          <w:sz w:val="22"/>
          <w:szCs w:val="22"/>
        </w:rPr>
      </w:pPr>
    </w:p>
    <w:p>
      <w:pPr>
        <w:pStyle w:val="ListParagraph"/>
        <w:numPr>
          <w:ilvl w:val="1"/>
          <w:numId w:val="21"/>
        </w:numPr>
        <w:ind w:left="1418" w:hanging="709"/>
        <w:jc w:val="both"/>
        <w:rPr>
          <w:rFonts w:ascii="Arial" w:hAnsi="Arial" w:cs="Arial"/>
          <w:b/>
          <w:color w:val="000000" w:themeColor="text1"/>
          <w:sz w:val="22"/>
          <w:szCs w:val="22"/>
        </w:rPr>
      </w:pPr>
      <w:r>
        <w:rPr>
          <w:rFonts w:ascii="Arial" w:hAnsi="Arial" w:cs="Arial"/>
          <w:color w:val="000000" w:themeColor="text1"/>
          <w:sz w:val="22"/>
          <w:szCs w:val="22"/>
        </w:rPr>
        <w:t xml:space="preserve">On April 17, 2018, the PCSO Board approved the grant of EMSVs to 42 beneficiaries endorsed by the Charity Assistance Department (CAD).  It was noted, however, that 45 units were purchased by virtue of BR No. 0097, s. 2018 which was over by three (3) units costing a total amount of P7.044 million,  since there were no intended beneficiaries at the time of purchase, details are shown in Table 15. </w:t>
      </w:r>
    </w:p>
    <w:p>
      <w:pPr>
        <w:spacing w:after="0" w:line="240" w:lineRule="auto"/>
        <w:jc w:val="both"/>
        <w:rPr>
          <w:rFonts w:ascii="Arial" w:hAnsi="Arial" w:cs="Arial"/>
          <w:b/>
          <w:color w:val="000000" w:themeColor="text1"/>
        </w:rPr>
      </w:pPr>
    </w:p>
    <w:p>
      <w:pPr>
        <w:pStyle w:val="ListParagraph"/>
        <w:jc w:val="center"/>
        <w:rPr>
          <w:rFonts w:ascii="Arial" w:hAnsi="Arial" w:cs="Arial"/>
          <w:b/>
          <w:color w:val="000000" w:themeColor="text1"/>
          <w:sz w:val="20"/>
          <w:szCs w:val="20"/>
        </w:rPr>
      </w:pPr>
      <w:r>
        <w:rPr>
          <w:rFonts w:ascii="Arial" w:hAnsi="Arial" w:cs="Arial"/>
          <w:b/>
          <w:color w:val="000000" w:themeColor="text1"/>
          <w:sz w:val="20"/>
          <w:szCs w:val="20"/>
        </w:rPr>
        <w:t>Table 15 - List of EMSVs without Identified Beneficiaries</w:t>
      </w:r>
    </w:p>
    <w:p>
      <w:pPr>
        <w:pStyle w:val="ListParagraph"/>
        <w:jc w:val="center"/>
        <w:rPr>
          <w:rFonts w:ascii="Arial" w:hAnsi="Arial" w:cs="Arial"/>
          <w:b/>
          <w:color w:val="000000" w:themeColor="text1"/>
          <w:sz w:val="20"/>
          <w:szCs w:val="20"/>
        </w:rPr>
      </w:pPr>
      <w:r>
        <w:rPr>
          <w:rFonts w:ascii="Arial" w:hAnsi="Arial" w:cs="Arial"/>
          <w:b/>
          <w:color w:val="000000" w:themeColor="text1"/>
          <w:sz w:val="20"/>
          <w:szCs w:val="20"/>
        </w:rPr>
        <w:t>At the time of  Purchase</w:t>
      </w:r>
    </w:p>
    <w:p>
      <w:pPr>
        <w:pStyle w:val="ListParagraph"/>
        <w:jc w:val="center"/>
        <w:rPr>
          <w:rFonts w:ascii="Arial" w:hAnsi="Arial" w:cs="Arial"/>
          <w:b/>
          <w:color w:val="000000" w:themeColor="text1"/>
          <w:sz w:val="20"/>
          <w:szCs w:val="20"/>
        </w:rPr>
      </w:pPr>
    </w:p>
    <w:tbl>
      <w:tblPr>
        <w:tblW w:w="8034"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089"/>
        <w:gridCol w:w="1350"/>
        <w:gridCol w:w="1440"/>
        <w:gridCol w:w="900"/>
        <w:gridCol w:w="1559"/>
      </w:tblGrid>
      <w:tr>
        <w:trPr>
          <w:trHeight w:val="510"/>
          <w:tblHeader/>
        </w:trPr>
        <w:tc>
          <w:tcPr>
            <w:tcW w:w="1696" w:type="dxa"/>
            <w:tcBorders>
              <w:top w:val="single" w:sz="4" w:space="0" w:color="auto"/>
              <w:left w:val="nil"/>
              <w:bottom w:val="single" w:sz="4" w:space="0" w:color="auto"/>
              <w:right w:val="nil"/>
            </w:tcBorders>
            <w:vAlign w:val="bottom"/>
          </w:tcPr>
          <w:p>
            <w:pPr>
              <w:spacing w:after="0" w:line="240" w:lineRule="auto"/>
              <w:ind w:hanging="114"/>
              <w:rPr>
                <w:rFonts w:ascii="Arial Narrow" w:hAnsi="Arial Narrow" w:cs="Arial"/>
                <w:b/>
                <w:color w:val="000000" w:themeColor="text1"/>
                <w:sz w:val="20"/>
                <w:szCs w:val="20"/>
                <w:lang w:val="en-GB"/>
              </w:rPr>
            </w:pPr>
            <w:r>
              <w:rPr>
                <w:rFonts w:ascii="Arial Narrow" w:hAnsi="Arial Narrow" w:cs="Arial"/>
                <w:b/>
                <w:color w:val="000000" w:themeColor="text1"/>
                <w:sz w:val="20"/>
                <w:szCs w:val="20"/>
              </w:rPr>
              <w:t>Unit No.</w:t>
            </w:r>
          </w:p>
        </w:tc>
        <w:tc>
          <w:tcPr>
            <w:tcW w:w="1089" w:type="dxa"/>
            <w:tcBorders>
              <w:top w:val="single" w:sz="4" w:space="0" w:color="auto"/>
              <w:left w:val="nil"/>
              <w:bottom w:val="single" w:sz="4" w:space="0" w:color="auto"/>
              <w:right w:val="nil"/>
            </w:tcBorders>
            <w:vAlign w:val="bottom"/>
          </w:tcPr>
          <w:p>
            <w:pPr>
              <w:spacing w:after="0" w:line="240" w:lineRule="auto"/>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Invoice No.</w:t>
            </w:r>
          </w:p>
        </w:tc>
        <w:tc>
          <w:tcPr>
            <w:tcW w:w="1350" w:type="dxa"/>
            <w:tcBorders>
              <w:top w:val="single" w:sz="4" w:space="0" w:color="auto"/>
              <w:left w:val="nil"/>
              <w:bottom w:val="single" w:sz="4" w:space="0" w:color="auto"/>
              <w:right w:val="nil"/>
            </w:tcBorders>
            <w:vAlign w:val="bottom"/>
          </w:tcPr>
          <w:p>
            <w:pPr>
              <w:spacing w:after="0" w:line="240" w:lineRule="auto"/>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Delivery Receipt No.</w:t>
            </w:r>
          </w:p>
        </w:tc>
        <w:tc>
          <w:tcPr>
            <w:tcW w:w="1440" w:type="dxa"/>
            <w:tcBorders>
              <w:top w:val="single" w:sz="4" w:space="0" w:color="auto"/>
              <w:left w:val="nil"/>
              <w:bottom w:val="single" w:sz="4" w:space="0" w:color="auto"/>
              <w:right w:val="nil"/>
            </w:tcBorders>
            <w:vAlign w:val="bottom"/>
          </w:tcPr>
          <w:p>
            <w:pPr>
              <w:spacing w:after="0" w:line="240" w:lineRule="auto"/>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Description</w:t>
            </w:r>
          </w:p>
        </w:tc>
        <w:tc>
          <w:tcPr>
            <w:tcW w:w="900" w:type="dxa"/>
            <w:tcBorders>
              <w:top w:val="single" w:sz="4" w:space="0" w:color="auto"/>
              <w:left w:val="nil"/>
              <w:bottom w:val="single" w:sz="4" w:space="0" w:color="auto"/>
              <w:right w:val="nil"/>
            </w:tcBorders>
            <w:vAlign w:val="bottom"/>
          </w:tcPr>
          <w:p>
            <w:pPr>
              <w:spacing w:after="0" w:line="240" w:lineRule="auto"/>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CS No.</w:t>
            </w:r>
          </w:p>
        </w:tc>
        <w:tc>
          <w:tcPr>
            <w:tcW w:w="1559" w:type="dxa"/>
            <w:tcBorders>
              <w:top w:val="single" w:sz="4" w:space="0" w:color="auto"/>
              <w:left w:val="nil"/>
              <w:bottom w:val="single" w:sz="4" w:space="0" w:color="auto"/>
              <w:right w:val="nil"/>
            </w:tcBorders>
            <w:vAlign w:val="bottom"/>
          </w:tcPr>
          <w:p>
            <w:pPr>
              <w:spacing w:after="0" w:line="240" w:lineRule="auto"/>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Engine No.</w:t>
            </w:r>
          </w:p>
        </w:tc>
      </w:tr>
      <w:tr>
        <w:trPr>
          <w:trHeight w:val="278"/>
        </w:trPr>
        <w:tc>
          <w:tcPr>
            <w:tcW w:w="1696" w:type="dxa"/>
            <w:tcBorders>
              <w:top w:val="single" w:sz="4" w:space="0" w:color="auto"/>
              <w:left w:val="nil"/>
              <w:bottom w:val="nil"/>
              <w:right w:val="nil"/>
            </w:tcBorders>
            <w:hideMark/>
          </w:tcPr>
          <w:p>
            <w:pPr>
              <w:spacing w:after="0" w:line="240" w:lineRule="auto"/>
              <w:ind w:hanging="114"/>
              <w:rPr>
                <w:rFonts w:ascii="Arial Narrow" w:hAnsi="Arial Narrow" w:cs="Arial"/>
                <w:color w:val="000000" w:themeColor="text1"/>
                <w:sz w:val="20"/>
                <w:szCs w:val="20"/>
              </w:rPr>
            </w:pPr>
            <w:r>
              <w:rPr>
                <w:rFonts w:ascii="Arial Narrow" w:hAnsi="Arial Narrow" w:cs="Arial"/>
                <w:color w:val="000000" w:themeColor="text1"/>
                <w:sz w:val="20"/>
                <w:szCs w:val="20"/>
              </w:rPr>
              <w:t>PCSO EMSV 8</w:t>
            </w:r>
          </w:p>
        </w:tc>
        <w:tc>
          <w:tcPr>
            <w:tcW w:w="1089" w:type="dxa"/>
            <w:tcBorders>
              <w:top w:val="single" w:sz="4" w:space="0" w:color="auto"/>
              <w:left w:val="nil"/>
              <w:bottom w:val="nil"/>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VI008007</w:t>
            </w:r>
          </w:p>
        </w:tc>
        <w:tc>
          <w:tcPr>
            <w:tcW w:w="1350" w:type="dxa"/>
            <w:tcBorders>
              <w:top w:val="single" w:sz="4" w:space="0" w:color="auto"/>
              <w:left w:val="nil"/>
              <w:bottom w:val="nil"/>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VDR08007</w:t>
            </w:r>
          </w:p>
        </w:tc>
        <w:tc>
          <w:tcPr>
            <w:tcW w:w="1440" w:type="dxa"/>
            <w:tcBorders>
              <w:top w:val="single" w:sz="4" w:space="0" w:color="auto"/>
              <w:left w:val="nil"/>
              <w:bottom w:val="nil"/>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NV350 Urvan</w:t>
            </w:r>
          </w:p>
        </w:tc>
        <w:tc>
          <w:tcPr>
            <w:tcW w:w="900" w:type="dxa"/>
            <w:tcBorders>
              <w:top w:val="single" w:sz="4" w:space="0" w:color="auto"/>
              <w:left w:val="nil"/>
              <w:bottom w:val="nil"/>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F2I950</w:t>
            </w:r>
          </w:p>
        </w:tc>
        <w:tc>
          <w:tcPr>
            <w:tcW w:w="1559" w:type="dxa"/>
            <w:tcBorders>
              <w:top w:val="single" w:sz="4" w:space="0" w:color="auto"/>
              <w:left w:val="nil"/>
              <w:bottom w:val="nil"/>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YD25053999B</w:t>
            </w:r>
          </w:p>
        </w:tc>
      </w:tr>
      <w:tr>
        <w:trPr>
          <w:trHeight w:val="77"/>
        </w:trPr>
        <w:tc>
          <w:tcPr>
            <w:tcW w:w="1696" w:type="dxa"/>
            <w:tcBorders>
              <w:top w:val="nil"/>
              <w:left w:val="nil"/>
              <w:bottom w:val="nil"/>
              <w:right w:val="nil"/>
            </w:tcBorders>
            <w:hideMark/>
          </w:tcPr>
          <w:p>
            <w:pPr>
              <w:spacing w:after="0" w:line="240" w:lineRule="auto"/>
              <w:ind w:hanging="114"/>
              <w:rPr>
                <w:rFonts w:ascii="Arial Narrow" w:hAnsi="Arial Narrow" w:cs="Arial"/>
                <w:color w:val="000000" w:themeColor="text1"/>
                <w:sz w:val="20"/>
                <w:szCs w:val="20"/>
              </w:rPr>
            </w:pPr>
            <w:r>
              <w:rPr>
                <w:rFonts w:ascii="Arial Narrow" w:hAnsi="Arial Narrow" w:cs="Arial"/>
                <w:color w:val="000000" w:themeColor="text1"/>
                <w:sz w:val="20"/>
                <w:szCs w:val="20"/>
              </w:rPr>
              <w:t>PCSO EMSV 42</w:t>
            </w:r>
          </w:p>
        </w:tc>
        <w:tc>
          <w:tcPr>
            <w:tcW w:w="1089" w:type="dxa"/>
            <w:tcBorders>
              <w:top w:val="nil"/>
              <w:left w:val="nil"/>
              <w:bottom w:val="nil"/>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VI007954</w:t>
            </w:r>
          </w:p>
        </w:tc>
        <w:tc>
          <w:tcPr>
            <w:tcW w:w="1350" w:type="dxa"/>
            <w:tcBorders>
              <w:top w:val="nil"/>
              <w:left w:val="nil"/>
              <w:bottom w:val="nil"/>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VDR07954</w:t>
            </w:r>
          </w:p>
        </w:tc>
        <w:tc>
          <w:tcPr>
            <w:tcW w:w="1440" w:type="dxa"/>
            <w:tcBorders>
              <w:top w:val="nil"/>
              <w:left w:val="nil"/>
              <w:bottom w:val="nil"/>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NV350 Urvan</w:t>
            </w:r>
          </w:p>
        </w:tc>
        <w:tc>
          <w:tcPr>
            <w:tcW w:w="900" w:type="dxa"/>
            <w:tcBorders>
              <w:top w:val="nil"/>
              <w:left w:val="nil"/>
              <w:bottom w:val="nil"/>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F2I991</w:t>
            </w:r>
          </w:p>
        </w:tc>
        <w:tc>
          <w:tcPr>
            <w:tcW w:w="1559" w:type="dxa"/>
            <w:tcBorders>
              <w:top w:val="nil"/>
              <w:left w:val="nil"/>
              <w:bottom w:val="nil"/>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YD25054473B</w:t>
            </w:r>
          </w:p>
        </w:tc>
      </w:tr>
      <w:tr>
        <w:trPr>
          <w:trHeight w:val="260"/>
        </w:trPr>
        <w:tc>
          <w:tcPr>
            <w:tcW w:w="1696" w:type="dxa"/>
            <w:tcBorders>
              <w:top w:val="nil"/>
              <w:left w:val="nil"/>
              <w:bottom w:val="single" w:sz="4" w:space="0" w:color="auto"/>
              <w:right w:val="nil"/>
            </w:tcBorders>
            <w:hideMark/>
          </w:tcPr>
          <w:p>
            <w:pPr>
              <w:spacing w:after="0" w:line="240" w:lineRule="auto"/>
              <w:ind w:hanging="114"/>
              <w:rPr>
                <w:rFonts w:ascii="Arial Narrow" w:hAnsi="Arial Narrow" w:cs="Arial"/>
                <w:color w:val="000000" w:themeColor="text1"/>
                <w:sz w:val="20"/>
                <w:szCs w:val="20"/>
              </w:rPr>
            </w:pPr>
            <w:r>
              <w:rPr>
                <w:rFonts w:ascii="Arial Narrow" w:hAnsi="Arial Narrow" w:cs="Arial"/>
                <w:color w:val="000000" w:themeColor="text1"/>
                <w:sz w:val="20"/>
                <w:szCs w:val="20"/>
              </w:rPr>
              <w:t>PCSO EMSV 45</w:t>
            </w:r>
          </w:p>
        </w:tc>
        <w:tc>
          <w:tcPr>
            <w:tcW w:w="1089" w:type="dxa"/>
            <w:tcBorders>
              <w:top w:val="nil"/>
              <w:left w:val="nil"/>
              <w:bottom w:val="single" w:sz="4" w:space="0" w:color="auto"/>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VI008024</w:t>
            </w:r>
          </w:p>
        </w:tc>
        <w:tc>
          <w:tcPr>
            <w:tcW w:w="1350" w:type="dxa"/>
            <w:tcBorders>
              <w:top w:val="nil"/>
              <w:left w:val="nil"/>
              <w:bottom w:val="single" w:sz="4" w:space="0" w:color="auto"/>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VDR08024</w:t>
            </w:r>
          </w:p>
        </w:tc>
        <w:tc>
          <w:tcPr>
            <w:tcW w:w="1440" w:type="dxa"/>
            <w:tcBorders>
              <w:top w:val="nil"/>
              <w:left w:val="nil"/>
              <w:bottom w:val="single" w:sz="4" w:space="0" w:color="auto"/>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NV350 Urvan</w:t>
            </w:r>
          </w:p>
        </w:tc>
        <w:tc>
          <w:tcPr>
            <w:tcW w:w="900" w:type="dxa"/>
            <w:tcBorders>
              <w:top w:val="nil"/>
              <w:left w:val="nil"/>
              <w:bottom w:val="single" w:sz="4" w:space="0" w:color="auto"/>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F1K419</w:t>
            </w:r>
          </w:p>
        </w:tc>
        <w:tc>
          <w:tcPr>
            <w:tcW w:w="1559" w:type="dxa"/>
            <w:tcBorders>
              <w:top w:val="nil"/>
              <w:left w:val="nil"/>
              <w:bottom w:val="single" w:sz="4" w:space="0" w:color="auto"/>
              <w:right w:val="nil"/>
            </w:tcBorders>
            <w:hideMark/>
          </w:tcPr>
          <w:p>
            <w:pPr>
              <w:spacing w:after="0" w:line="240"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YD25035616B</w:t>
            </w:r>
          </w:p>
        </w:tc>
      </w:tr>
    </w:tbl>
    <w:p>
      <w:pPr>
        <w:pStyle w:val="ListParagraph"/>
        <w:rPr>
          <w:rFonts w:ascii="Arial" w:hAnsi="Arial" w:cs="Arial"/>
          <w:b/>
          <w:sz w:val="22"/>
          <w:szCs w:val="22"/>
        </w:rPr>
      </w:pPr>
    </w:p>
    <w:p>
      <w:pPr>
        <w:pStyle w:val="ListParagraph"/>
        <w:numPr>
          <w:ilvl w:val="1"/>
          <w:numId w:val="21"/>
        </w:numPr>
        <w:ind w:left="1418" w:hanging="709"/>
        <w:jc w:val="both"/>
        <w:rPr>
          <w:rFonts w:ascii="Arial" w:hAnsi="Arial" w:cs="Arial"/>
          <w:b/>
          <w:sz w:val="22"/>
          <w:szCs w:val="22"/>
        </w:rPr>
      </w:pPr>
      <w:r>
        <w:rPr>
          <w:rFonts w:ascii="Arial" w:hAnsi="Arial" w:cs="Arial"/>
          <w:sz w:val="22"/>
          <w:szCs w:val="22"/>
        </w:rPr>
        <w:t>Records showed that the said 45 units of EMSV were delivered and accepted by the PCSO on September 19, 2019 and 42 units were eventually turned over to the approved beneficiaries during the same year.</w:t>
      </w:r>
    </w:p>
    <w:p>
      <w:pPr>
        <w:pStyle w:val="ListParagraph"/>
        <w:numPr>
          <w:ilvl w:val="1"/>
          <w:numId w:val="21"/>
        </w:numPr>
        <w:ind w:left="1418" w:hanging="709"/>
        <w:jc w:val="both"/>
        <w:rPr>
          <w:rFonts w:ascii="Arial" w:hAnsi="Arial" w:cs="Arial"/>
          <w:b/>
          <w:sz w:val="22"/>
          <w:szCs w:val="22"/>
        </w:rPr>
      </w:pPr>
      <w:r>
        <w:rPr>
          <w:rFonts w:ascii="Arial" w:hAnsi="Arial" w:cs="Arial"/>
          <w:sz w:val="22"/>
          <w:szCs w:val="22"/>
        </w:rPr>
        <w:lastRenderedPageBreak/>
        <w:t xml:space="preserve">The remaining three (3) units costing a total amount of P7.044 million were excess procurement as there were no intended beneficiaries at the time of purchase. These were left in the custody of the PCSO and remained idle and not put into productive use as of December 31, 2020. </w:t>
      </w:r>
    </w:p>
    <w:p>
      <w:pPr>
        <w:spacing w:after="0"/>
        <w:jc w:val="both"/>
        <w:rPr>
          <w:rFonts w:ascii="Arial" w:hAnsi="Arial" w:cs="Arial"/>
          <w:b/>
        </w:rPr>
      </w:pPr>
    </w:p>
    <w:p>
      <w:pPr>
        <w:pStyle w:val="ListParagraph"/>
        <w:ind w:left="709" w:right="2970"/>
        <w:jc w:val="both"/>
        <w:rPr>
          <w:rFonts w:ascii="Arial" w:hAnsi="Arial" w:cs="Arial"/>
          <w:i/>
          <w:color w:val="000000" w:themeColor="text1"/>
          <w:sz w:val="22"/>
          <w:szCs w:val="22"/>
        </w:rPr>
      </w:pPr>
      <w:r>
        <w:rPr>
          <w:rFonts w:ascii="Arial" w:hAnsi="Arial" w:cs="Arial"/>
          <w:i/>
          <w:color w:val="000000" w:themeColor="text1"/>
          <w:sz w:val="22"/>
          <w:szCs w:val="22"/>
        </w:rPr>
        <w:t xml:space="preserve">Beneficiaries of the 42 units EMSV did not submit the proof of registration with the DOH as ASP, contrary to the requirement under Section XII (A.3) of the Guidelines for the PCSO MTVDP, casting doubt </w:t>
      </w:r>
      <w:r>
        <w:rPr>
          <w:rFonts w:ascii="Arial" w:hAnsi="Arial" w:cs="Arial"/>
          <w:i/>
          <w:sz w:val="22"/>
          <w:szCs w:val="22"/>
        </w:rPr>
        <w:t>on whether the donated EMSVs have been approved as ambulances</w:t>
      </w:r>
    </w:p>
    <w:p>
      <w:pPr>
        <w:pStyle w:val="ListParagraph"/>
        <w:ind w:left="1418" w:hanging="698"/>
        <w:rPr>
          <w:rFonts w:ascii="Arial" w:hAnsi="Arial" w:cs="Arial"/>
          <w:b/>
          <w:sz w:val="22"/>
          <w:szCs w:val="22"/>
        </w:rPr>
      </w:pPr>
    </w:p>
    <w:p>
      <w:pPr>
        <w:pStyle w:val="ListParagraph"/>
        <w:numPr>
          <w:ilvl w:val="1"/>
          <w:numId w:val="21"/>
        </w:numPr>
        <w:ind w:left="1418" w:hanging="709"/>
        <w:jc w:val="both"/>
        <w:rPr>
          <w:rFonts w:ascii="Arial" w:hAnsi="Arial" w:cs="Arial"/>
          <w:b/>
          <w:sz w:val="22"/>
          <w:szCs w:val="22"/>
        </w:rPr>
      </w:pPr>
      <w:r>
        <w:rPr>
          <w:rFonts w:ascii="Arial" w:hAnsi="Arial" w:cs="Arial"/>
          <w:sz w:val="22"/>
          <w:szCs w:val="22"/>
        </w:rPr>
        <w:t>Section XII (A.3) of the Guidelines for the PCSO MTVDP provides:</w:t>
      </w:r>
    </w:p>
    <w:p>
      <w:pPr>
        <w:pStyle w:val="ListParagraph"/>
        <w:ind w:left="1418"/>
        <w:jc w:val="both"/>
        <w:rPr>
          <w:rFonts w:ascii="Arial" w:hAnsi="Arial" w:cs="Arial"/>
          <w:sz w:val="22"/>
          <w:szCs w:val="22"/>
        </w:rPr>
      </w:pPr>
    </w:p>
    <w:p>
      <w:pPr>
        <w:spacing w:after="0" w:line="240" w:lineRule="auto"/>
        <w:ind w:left="2410" w:right="691" w:hanging="425"/>
        <w:jc w:val="both"/>
        <w:rPr>
          <w:rFonts w:ascii="Arial" w:hAnsi="Arial" w:cs="Arial"/>
          <w:i/>
        </w:rPr>
      </w:pPr>
      <w:r>
        <w:rPr>
          <w:rFonts w:ascii="Arial" w:hAnsi="Arial" w:cs="Arial"/>
          <w:i/>
        </w:rPr>
        <w:t>3.  Beneficiaries of EMSVs shall submit proof of their registration with the DOH as an Ambulance Service Provider. Should an EMSV beneficiary not be a registered ASP at the time of the turnover of the EMSV unit, the beneficiary would have six (6) months from the date of the grant to comply with the requirement to register as an ASP with the DOH. Failure to register within the aforementioned time shall be grounds for PCSO to revoke the grant and the immediate redemption of the EMSV unit from the beneficiary’s custody. The concerned PCSO Branch Office shall be authorized by the General Manager to repossess the MTV unit granted under question, upon the recommendation of the Program Oversight Committee on the MTVDP, and shall maintain possession of the same until final resolution of the matter.</w:t>
      </w:r>
    </w:p>
    <w:p>
      <w:pPr>
        <w:spacing w:after="0" w:line="240" w:lineRule="auto"/>
        <w:ind w:left="1710" w:right="691"/>
        <w:jc w:val="both"/>
        <w:rPr>
          <w:rFonts w:ascii="Arial" w:hAnsi="Arial" w:cs="Arial"/>
          <w:i/>
        </w:rPr>
      </w:pPr>
    </w:p>
    <w:p>
      <w:pPr>
        <w:pStyle w:val="ListParagraph"/>
        <w:numPr>
          <w:ilvl w:val="1"/>
          <w:numId w:val="21"/>
        </w:numPr>
        <w:ind w:left="1418" w:hanging="709"/>
        <w:jc w:val="both"/>
        <w:rPr>
          <w:rFonts w:ascii="Arial" w:hAnsi="Arial" w:cs="Arial"/>
          <w:b/>
          <w:sz w:val="22"/>
          <w:szCs w:val="22"/>
        </w:rPr>
      </w:pPr>
      <w:r>
        <w:rPr>
          <w:rFonts w:ascii="Arial" w:hAnsi="Arial" w:cs="Arial"/>
          <w:sz w:val="22"/>
          <w:szCs w:val="22"/>
        </w:rPr>
        <w:t xml:space="preserve">Verification disclosed that 42 EMSVs were released to identified and approved beneficiaries, consisting of various government hospitals and non-DOH agencies.  It was noted, however, that the said beneficiaries did not submit their registration with the DOH as an ASP, contrary to the above-stated provision. The said requirement aimed to ensure that the subject beneficiaries passed the DOH assessment tool for licensing ASP and that they were compliant with the policy guidelines and related issuances in delivering standard quality services to patients. The absence of proof of registration with the DOH as ASP casts doubt on whether the donated EMSVs have been approved as ambulances.  </w:t>
      </w:r>
    </w:p>
    <w:p>
      <w:pPr>
        <w:pStyle w:val="ListParagraph"/>
        <w:rPr>
          <w:rFonts w:ascii="Arial" w:hAnsi="Arial" w:cs="Arial"/>
          <w:sz w:val="22"/>
          <w:szCs w:val="22"/>
          <w:lang w:val="en-PH" w:eastAsia="ar-SA"/>
        </w:rPr>
      </w:pPr>
    </w:p>
    <w:p>
      <w:pPr>
        <w:pStyle w:val="ListParagraph"/>
        <w:ind w:right="2970"/>
        <w:jc w:val="both"/>
        <w:rPr>
          <w:rFonts w:ascii="Arial" w:hAnsi="Arial" w:cs="Arial"/>
          <w:i/>
          <w:color w:val="000000" w:themeColor="text1"/>
          <w:sz w:val="22"/>
          <w:szCs w:val="22"/>
        </w:rPr>
      </w:pPr>
      <w:r>
        <w:rPr>
          <w:rFonts w:ascii="Arial" w:hAnsi="Arial" w:cs="Arial"/>
          <w:i/>
          <w:color w:val="000000" w:themeColor="text1"/>
          <w:sz w:val="22"/>
          <w:szCs w:val="22"/>
        </w:rPr>
        <w:t xml:space="preserve">The release of the 293 units of PTV amounting to P464.423 million were not supported with the grant release documentations to </w:t>
      </w:r>
      <w:r>
        <w:rPr>
          <w:rFonts w:ascii="Arial" w:hAnsi="Arial" w:cs="Arial"/>
          <w:i/>
          <w:sz w:val="22"/>
          <w:szCs w:val="22"/>
        </w:rPr>
        <w:t>prove that these units were turned over and accepted by the beneficiaries</w:t>
      </w:r>
    </w:p>
    <w:p>
      <w:pPr>
        <w:pStyle w:val="ListParagraph"/>
        <w:rPr>
          <w:rFonts w:ascii="Arial" w:hAnsi="Arial" w:cs="Arial"/>
          <w:sz w:val="22"/>
          <w:szCs w:val="22"/>
          <w:lang w:val="en-PH" w:eastAsia="ar-SA"/>
        </w:rPr>
      </w:pPr>
    </w:p>
    <w:p>
      <w:pPr>
        <w:pStyle w:val="ListParagraph"/>
        <w:numPr>
          <w:ilvl w:val="1"/>
          <w:numId w:val="21"/>
        </w:numPr>
        <w:ind w:left="1418" w:hanging="709"/>
        <w:jc w:val="both"/>
        <w:rPr>
          <w:rFonts w:ascii="Arial" w:hAnsi="Arial" w:cs="Arial"/>
          <w:color w:val="000000" w:themeColor="text1"/>
          <w:sz w:val="22"/>
          <w:szCs w:val="22"/>
          <w:lang w:val="en-PH" w:eastAsia="ar-SA"/>
        </w:rPr>
      </w:pPr>
      <w:r>
        <w:rPr>
          <w:rFonts w:ascii="Arial" w:hAnsi="Arial" w:cs="Arial"/>
          <w:color w:val="000000" w:themeColor="text1"/>
          <w:sz w:val="22"/>
          <w:szCs w:val="22"/>
        </w:rPr>
        <w:t>Section XI (4) of the Guidelines for MTVDP provides:</w:t>
      </w:r>
    </w:p>
    <w:p>
      <w:pPr>
        <w:pStyle w:val="ListParagraph"/>
        <w:ind w:left="1418"/>
        <w:jc w:val="both"/>
        <w:rPr>
          <w:rFonts w:ascii="Arial" w:hAnsi="Arial" w:cs="Arial"/>
          <w:color w:val="000000" w:themeColor="text1"/>
          <w:sz w:val="22"/>
          <w:szCs w:val="22"/>
          <w:lang w:val="en-PH" w:eastAsia="ar-SA"/>
        </w:rPr>
      </w:pPr>
    </w:p>
    <w:p>
      <w:pPr>
        <w:pStyle w:val="ListParagraph"/>
        <w:ind w:left="1985" w:right="691"/>
        <w:jc w:val="both"/>
        <w:rPr>
          <w:rFonts w:ascii="Arial" w:hAnsi="Arial" w:cs="Arial"/>
          <w:i/>
          <w:iCs/>
          <w:color w:val="000000" w:themeColor="text1"/>
          <w:sz w:val="22"/>
          <w:szCs w:val="22"/>
        </w:rPr>
      </w:pPr>
      <w:r>
        <w:rPr>
          <w:rFonts w:ascii="Arial" w:hAnsi="Arial" w:cs="Arial"/>
          <w:i/>
          <w:iCs/>
          <w:color w:val="000000" w:themeColor="text1"/>
          <w:sz w:val="22"/>
          <w:szCs w:val="22"/>
        </w:rPr>
        <w:t xml:space="preserve">The CAD shall issue the following documents to the beneficiary: (i) signed DOD; (ii) MTV Unit Release Form; and </w:t>
      </w:r>
      <w:r>
        <w:rPr>
          <w:rFonts w:ascii="Arial" w:hAnsi="Arial" w:cs="Arial"/>
          <w:i/>
          <w:iCs/>
          <w:color w:val="000000" w:themeColor="text1"/>
          <w:sz w:val="22"/>
          <w:szCs w:val="22"/>
        </w:rPr>
        <w:lastRenderedPageBreak/>
        <w:t>(iii) Complete Set of Vehicle Documents provided by the MTV Supplier.</w:t>
      </w:r>
    </w:p>
    <w:p>
      <w:pPr>
        <w:pStyle w:val="ListParagraph"/>
        <w:ind w:left="1418"/>
        <w:jc w:val="both"/>
        <w:rPr>
          <w:rFonts w:ascii="Arial" w:hAnsi="Arial" w:cs="Arial"/>
          <w:i/>
          <w:iCs/>
          <w:color w:val="000000" w:themeColor="text1"/>
          <w:sz w:val="22"/>
          <w:szCs w:val="22"/>
        </w:rPr>
      </w:pPr>
      <w:r>
        <w:rPr>
          <w:rFonts w:ascii="Arial" w:hAnsi="Arial" w:cs="Arial"/>
          <w:color w:val="000000" w:themeColor="text1"/>
          <w:sz w:val="22"/>
          <w:szCs w:val="22"/>
        </w:rPr>
        <w:t xml:space="preserve"> </w:t>
      </w:r>
    </w:p>
    <w:p>
      <w:pPr>
        <w:pStyle w:val="ListParagraph"/>
        <w:ind w:left="1985" w:right="691"/>
        <w:jc w:val="both"/>
        <w:rPr>
          <w:rFonts w:ascii="Arial" w:hAnsi="Arial" w:cs="Arial"/>
          <w:i/>
          <w:iCs/>
          <w:color w:val="000000" w:themeColor="text1"/>
          <w:sz w:val="22"/>
          <w:szCs w:val="22"/>
        </w:rPr>
      </w:pPr>
      <w:r>
        <w:rPr>
          <w:rFonts w:ascii="Arial" w:hAnsi="Arial" w:cs="Arial"/>
          <w:i/>
          <w:iCs/>
          <w:color w:val="000000" w:themeColor="text1"/>
          <w:sz w:val="22"/>
          <w:szCs w:val="22"/>
        </w:rPr>
        <w:t>The ceremonial turn-over of the MTV unit granted shall be documented, and shall form part of the records maintained by the CAD for each particular MTV granted.</w:t>
      </w:r>
    </w:p>
    <w:p>
      <w:pPr>
        <w:pStyle w:val="ListParagraph"/>
        <w:ind w:left="1710" w:right="691"/>
        <w:jc w:val="both"/>
        <w:rPr>
          <w:rFonts w:ascii="Arial" w:hAnsi="Arial" w:cs="Arial"/>
          <w:sz w:val="22"/>
          <w:szCs w:val="22"/>
        </w:rPr>
      </w:pPr>
    </w:p>
    <w:p>
      <w:pPr>
        <w:pStyle w:val="ListParagraph"/>
        <w:numPr>
          <w:ilvl w:val="1"/>
          <w:numId w:val="21"/>
        </w:numPr>
        <w:ind w:left="1418" w:hanging="709"/>
        <w:jc w:val="both"/>
        <w:rPr>
          <w:rFonts w:ascii="Arial" w:hAnsi="Arial" w:cs="Arial"/>
        </w:rPr>
      </w:pPr>
      <w:r>
        <w:rPr>
          <w:rFonts w:ascii="Arial" w:hAnsi="Arial" w:cs="Arial"/>
          <w:sz w:val="22"/>
          <w:szCs w:val="22"/>
        </w:rPr>
        <w:t>Verification of the records disclosed that the PCSO released 293 units of PTV amounting P464.423 million to the concerned beneficiaries of the MTVDP during CYs 2019 and 2020, breakdown shown in Table 16.</w:t>
      </w:r>
    </w:p>
    <w:p>
      <w:pPr>
        <w:pStyle w:val="ListParagraph"/>
        <w:ind w:left="1418"/>
        <w:jc w:val="both"/>
        <w:rPr>
          <w:rFonts w:ascii="Arial" w:hAnsi="Arial" w:cs="Arial"/>
          <w:sz w:val="22"/>
          <w:szCs w:val="22"/>
        </w:rPr>
      </w:pPr>
    </w:p>
    <w:p>
      <w:pPr>
        <w:pStyle w:val="ListParagraph"/>
        <w:ind w:left="709"/>
        <w:jc w:val="center"/>
        <w:rPr>
          <w:rFonts w:ascii="Arial" w:hAnsi="Arial" w:cs="Arial"/>
          <w:b/>
          <w:sz w:val="20"/>
          <w:szCs w:val="20"/>
        </w:rPr>
      </w:pPr>
      <w:r>
        <w:rPr>
          <w:rFonts w:ascii="Arial" w:hAnsi="Arial" w:cs="Arial"/>
          <w:b/>
          <w:sz w:val="20"/>
          <w:szCs w:val="20"/>
        </w:rPr>
        <w:t>Table 16 - PTV Units Released to Beneficiaries in CYs 2019 – 2020</w:t>
      </w:r>
    </w:p>
    <w:p>
      <w:pPr>
        <w:pStyle w:val="ListParagraph"/>
        <w:ind w:left="709"/>
        <w:jc w:val="center"/>
        <w:rPr>
          <w:rFonts w:ascii="Arial" w:hAnsi="Arial" w:cs="Arial"/>
          <w:sz w:val="20"/>
          <w:szCs w:val="20"/>
        </w:rPr>
      </w:pPr>
    </w:p>
    <w:tbl>
      <w:tblPr>
        <w:tblStyle w:val="TableGrid"/>
        <w:tblW w:w="7860" w:type="dxa"/>
        <w:tblInd w:w="70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4"/>
        <w:gridCol w:w="1936"/>
        <w:gridCol w:w="1747"/>
        <w:gridCol w:w="2473"/>
      </w:tblGrid>
      <w:tr>
        <w:tc>
          <w:tcPr>
            <w:tcW w:w="1704" w:type="dxa"/>
            <w:tcBorders>
              <w:top w:val="single" w:sz="4" w:space="0" w:color="auto"/>
              <w:bottom w:val="single" w:sz="4" w:space="0" w:color="auto"/>
            </w:tcBorders>
            <w:vAlign w:val="bottom"/>
            <w:hideMark/>
          </w:tcPr>
          <w:p>
            <w:pPr>
              <w:ind w:left="-110"/>
              <w:rPr>
                <w:rFonts w:ascii="Arial" w:hAnsi="Arial" w:cs="Arial"/>
                <w:b/>
                <w:color w:val="000000" w:themeColor="text1"/>
                <w:sz w:val="20"/>
                <w:szCs w:val="20"/>
              </w:rPr>
            </w:pPr>
            <w:r>
              <w:rPr>
                <w:rFonts w:ascii="Arial" w:hAnsi="Arial" w:cs="Arial"/>
                <w:b/>
                <w:color w:val="000000" w:themeColor="text1"/>
                <w:sz w:val="20"/>
                <w:szCs w:val="20"/>
              </w:rPr>
              <w:t>Date</w:t>
            </w:r>
          </w:p>
        </w:tc>
        <w:tc>
          <w:tcPr>
            <w:tcW w:w="1936" w:type="dxa"/>
            <w:tcBorders>
              <w:top w:val="single" w:sz="4" w:space="0" w:color="auto"/>
              <w:bottom w:val="single" w:sz="4" w:space="0" w:color="auto"/>
            </w:tcBorders>
            <w:vAlign w:val="bottom"/>
            <w:hideMark/>
          </w:tcPr>
          <w:p>
            <w:pPr>
              <w:ind w:firstLine="179"/>
              <w:rPr>
                <w:rFonts w:ascii="Arial" w:hAnsi="Arial" w:cs="Arial"/>
                <w:b/>
                <w:color w:val="000000" w:themeColor="text1"/>
                <w:sz w:val="20"/>
                <w:szCs w:val="20"/>
              </w:rPr>
            </w:pPr>
            <w:r>
              <w:rPr>
                <w:rFonts w:ascii="Arial" w:hAnsi="Arial" w:cs="Arial"/>
                <w:b/>
                <w:color w:val="000000" w:themeColor="text1"/>
                <w:sz w:val="20"/>
                <w:szCs w:val="20"/>
              </w:rPr>
              <w:t>Reference</w:t>
            </w:r>
          </w:p>
        </w:tc>
        <w:tc>
          <w:tcPr>
            <w:tcW w:w="1747" w:type="dxa"/>
            <w:tcBorders>
              <w:top w:val="single" w:sz="4" w:space="0" w:color="auto"/>
              <w:bottom w:val="single" w:sz="4" w:space="0" w:color="auto"/>
            </w:tcBorders>
            <w:vAlign w:val="bottom"/>
            <w:hideMark/>
          </w:tcPr>
          <w:p>
            <w:pPr>
              <w:jc w:val="center"/>
              <w:rPr>
                <w:rFonts w:ascii="Arial" w:hAnsi="Arial" w:cs="Arial"/>
                <w:b/>
                <w:color w:val="000000" w:themeColor="text1"/>
                <w:sz w:val="20"/>
                <w:szCs w:val="20"/>
              </w:rPr>
            </w:pPr>
            <w:r>
              <w:rPr>
                <w:rFonts w:ascii="Arial" w:hAnsi="Arial" w:cs="Arial"/>
                <w:b/>
                <w:color w:val="000000" w:themeColor="text1"/>
                <w:sz w:val="20"/>
                <w:szCs w:val="20"/>
              </w:rPr>
              <w:t>No. Units Released</w:t>
            </w:r>
          </w:p>
        </w:tc>
        <w:tc>
          <w:tcPr>
            <w:tcW w:w="2473" w:type="dxa"/>
            <w:tcBorders>
              <w:top w:val="single" w:sz="4" w:space="0" w:color="auto"/>
              <w:bottom w:val="single" w:sz="4" w:space="0" w:color="auto"/>
            </w:tcBorders>
            <w:vAlign w:val="bottom"/>
            <w:hideMark/>
          </w:tcPr>
          <w:p>
            <w:pPr>
              <w:ind w:right="-110"/>
              <w:jc w:val="right"/>
              <w:rPr>
                <w:rFonts w:ascii="Arial" w:hAnsi="Arial" w:cs="Arial"/>
                <w:b/>
                <w:color w:val="000000" w:themeColor="text1"/>
                <w:sz w:val="20"/>
                <w:szCs w:val="20"/>
              </w:rPr>
            </w:pPr>
            <w:r>
              <w:rPr>
                <w:rFonts w:ascii="Arial" w:hAnsi="Arial" w:cs="Arial"/>
                <w:b/>
                <w:color w:val="000000" w:themeColor="text1"/>
                <w:sz w:val="20"/>
                <w:szCs w:val="20"/>
              </w:rPr>
              <w:t>Amount</w:t>
            </w:r>
          </w:p>
        </w:tc>
      </w:tr>
      <w:tr>
        <w:tc>
          <w:tcPr>
            <w:tcW w:w="1704" w:type="dxa"/>
            <w:tcBorders>
              <w:top w:val="single" w:sz="4" w:space="0" w:color="auto"/>
            </w:tcBorders>
            <w:hideMark/>
          </w:tcPr>
          <w:p>
            <w:pPr>
              <w:ind w:left="-110"/>
              <w:rPr>
                <w:rFonts w:ascii="Arial" w:hAnsi="Arial" w:cs="Arial"/>
                <w:color w:val="000000" w:themeColor="text1"/>
                <w:sz w:val="20"/>
                <w:szCs w:val="20"/>
              </w:rPr>
            </w:pPr>
            <w:r>
              <w:rPr>
                <w:rFonts w:ascii="Arial" w:hAnsi="Arial" w:cs="Arial"/>
                <w:color w:val="000000" w:themeColor="text1"/>
                <w:sz w:val="20"/>
                <w:szCs w:val="20"/>
              </w:rPr>
              <w:t>12/31/19</w:t>
            </w:r>
          </w:p>
        </w:tc>
        <w:tc>
          <w:tcPr>
            <w:tcW w:w="1936" w:type="dxa"/>
            <w:tcBorders>
              <w:top w:val="single" w:sz="4" w:space="0" w:color="auto"/>
            </w:tcBorders>
            <w:hideMark/>
          </w:tcPr>
          <w:p>
            <w:pPr>
              <w:jc w:val="center"/>
              <w:rPr>
                <w:rFonts w:ascii="Arial" w:hAnsi="Arial" w:cs="Arial"/>
                <w:color w:val="000000" w:themeColor="text1"/>
                <w:sz w:val="20"/>
                <w:szCs w:val="20"/>
              </w:rPr>
            </w:pPr>
            <w:r>
              <w:rPr>
                <w:rFonts w:ascii="Arial" w:hAnsi="Arial" w:cs="Arial"/>
                <w:color w:val="000000" w:themeColor="text1"/>
                <w:sz w:val="20"/>
                <w:szCs w:val="20"/>
              </w:rPr>
              <w:t>JEV 19121738</w:t>
            </w:r>
          </w:p>
        </w:tc>
        <w:tc>
          <w:tcPr>
            <w:tcW w:w="1747" w:type="dxa"/>
            <w:tcBorders>
              <w:top w:val="single" w:sz="4" w:space="0" w:color="auto"/>
            </w:tcBorders>
            <w:hideMark/>
          </w:tcPr>
          <w:p>
            <w:pPr>
              <w:ind w:right="597"/>
              <w:jc w:val="right"/>
              <w:rPr>
                <w:rFonts w:ascii="Arial" w:hAnsi="Arial" w:cs="Arial"/>
                <w:color w:val="000000" w:themeColor="text1"/>
                <w:sz w:val="20"/>
                <w:szCs w:val="20"/>
              </w:rPr>
            </w:pPr>
            <w:r>
              <w:rPr>
                <w:rFonts w:ascii="Arial" w:hAnsi="Arial" w:cs="Arial"/>
                <w:color w:val="000000" w:themeColor="text1"/>
                <w:sz w:val="20"/>
                <w:szCs w:val="20"/>
              </w:rPr>
              <w:t>40</w:t>
            </w:r>
          </w:p>
        </w:tc>
        <w:tc>
          <w:tcPr>
            <w:tcW w:w="2473" w:type="dxa"/>
            <w:tcBorders>
              <w:top w:val="single" w:sz="4" w:space="0" w:color="auto"/>
            </w:tcBorders>
            <w:hideMark/>
          </w:tcPr>
          <w:p>
            <w:pPr>
              <w:ind w:right="-110"/>
              <w:jc w:val="right"/>
              <w:rPr>
                <w:rFonts w:ascii="Arial" w:hAnsi="Arial" w:cs="Arial"/>
                <w:color w:val="000000" w:themeColor="text1"/>
                <w:sz w:val="20"/>
                <w:szCs w:val="20"/>
              </w:rPr>
            </w:pPr>
            <w:r>
              <w:rPr>
                <w:rFonts w:ascii="Arial" w:hAnsi="Arial" w:cs="Arial"/>
                <w:color w:val="000000" w:themeColor="text1"/>
                <w:sz w:val="20"/>
                <w:szCs w:val="20"/>
              </w:rPr>
              <w:t>P  63,402,520</w:t>
            </w:r>
          </w:p>
        </w:tc>
      </w:tr>
      <w:tr>
        <w:tc>
          <w:tcPr>
            <w:tcW w:w="1704" w:type="dxa"/>
            <w:hideMark/>
          </w:tcPr>
          <w:p>
            <w:pPr>
              <w:ind w:left="-110"/>
              <w:rPr>
                <w:rFonts w:ascii="Arial" w:hAnsi="Arial" w:cs="Arial"/>
                <w:color w:val="000000" w:themeColor="text1"/>
                <w:sz w:val="20"/>
                <w:szCs w:val="20"/>
              </w:rPr>
            </w:pPr>
            <w:r>
              <w:rPr>
                <w:rFonts w:ascii="Arial" w:hAnsi="Arial" w:cs="Arial"/>
                <w:color w:val="000000" w:themeColor="text1"/>
                <w:sz w:val="20"/>
                <w:szCs w:val="20"/>
              </w:rPr>
              <w:t>5/31/20</w:t>
            </w:r>
          </w:p>
        </w:tc>
        <w:tc>
          <w:tcPr>
            <w:tcW w:w="1936" w:type="dxa"/>
            <w:hideMark/>
          </w:tcPr>
          <w:p>
            <w:pPr>
              <w:jc w:val="center"/>
              <w:rPr>
                <w:rFonts w:ascii="Arial" w:hAnsi="Arial" w:cs="Arial"/>
                <w:color w:val="000000" w:themeColor="text1"/>
                <w:sz w:val="20"/>
                <w:szCs w:val="20"/>
              </w:rPr>
            </w:pPr>
            <w:r>
              <w:rPr>
                <w:rFonts w:ascii="Arial" w:hAnsi="Arial" w:cs="Arial"/>
                <w:color w:val="000000" w:themeColor="text1"/>
                <w:sz w:val="20"/>
                <w:szCs w:val="20"/>
              </w:rPr>
              <w:t>JEV 20050237</w:t>
            </w:r>
          </w:p>
        </w:tc>
        <w:tc>
          <w:tcPr>
            <w:tcW w:w="1747" w:type="dxa"/>
            <w:hideMark/>
          </w:tcPr>
          <w:p>
            <w:pPr>
              <w:ind w:right="597"/>
              <w:jc w:val="right"/>
              <w:rPr>
                <w:rFonts w:ascii="Arial" w:hAnsi="Arial" w:cs="Arial"/>
                <w:color w:val="000000" w:themeColor="text1"/>
                <w:sz w:val="20"/>
                <w:szCs w:val="20"/>
              </w:rPr>
            </w:pPr>
            <w:r>
              <w:rPr>
                <w:rFonts w:ascii="Arial" w:hAnsi="Arial" w:cs="Arial"/>
                <w:color w:val="000000" w:themeColor="text1"/>
                <w:sz w:val="20"/>
                <w:szCs w:val="20"/>
              </w:rPr>
              <w:t>50</w:t>
            </w:r>
          </w:p>
        </w:tc>
        <w:tc>
          <w:tcPr>
            <w:tcW w:w="2473" w:type="dxa"/>
            <w:hideMark/>
          </w:tcPr>
          <w:p>
            <w:pPr>
              <w:ind w:right="-110"/>
              <w:jc w:val="right"/>
              <w:rPr>
                <w:rFonts w:ascii="Arial" w:hAnsi="Arial" w:cs="Arial"/>
                <w:color w:val="000000" w:themeColor="text1"/>
                <w:sz w:val="20"/>
                <w:szCs w:val="20"/>
              </w:rPr>
            </w:pPr>
            <w:r>
              <w:rPr>
                <w:rFonts w:ascii="Arial" w:hAnsi="Arial" w:cs="Arial"/>
                <w:color w:val="000000" w:themeColor="text1"/>
                <w:sz w:val="20"/>
                <w:szCs w:val="20"/>
              </w:rPr>
              <w:t>79,253,150</w:t>
            </w:r>
          </w:p>
        </w:tc>
      </w:tr>
      <w:tr>
        <w:tc>
          <w:tcPr>
            <w:tcW w:w="1704" w:type="dxa"/>
            <w:hideMark/>
          </w:tcPr>
          <w:p>
            <w:pPr>
              <w:ind w:left="-110"/>
              <w:rPr>
                <w:rFonts w:ascii="Arial" w:hAnsi="Arial" w:cs="Arial"/>
                <w:color w:val="000000" w:themeColor="text1"/>
                <w:sz w:val="20"/>
                <w:szCs w:val="20"/>
              </w:rPr>
            </w:pPr>
            <w:r>
              <w:rPr>
                <w:rFonts w:ascii="Arial" w:hAnsi="Arial" w:cs="Arial"/>
                <w:color w:val="000000" w:themeColor="text1"/>
                <w:sz w:val="20"/>
                <w:szCs w:val="20"/>
              </w:rPr>
              <w:t>8/31/20</w:t>
            </w:r>
          </w:p>
        </w:tc>
        <w:tc>
          <w:tcPr>
            <w:tcW w:w="1936" w:type="dxa"/>
            <w:hideMark/>
          </w:tcPr>
          <w:p>
            <w:pPr>
              <w:jc w:val="center"/>
              <w:rPr>
                <w:rFonts w:ascii="Arial" w:hAnsi="Arial" w:cs="Arial"/>
                <w:color w:val="000000" w:themeColor="text1"/>
                <w:sz w:val="20"/>
                <w:szCs w:val="20"/>
              </w:rPr>
            </w:pPr>
            <w:r>
              <w:rPr>
                <w:rFonts w:ascii="Arial" w:hAnsi="Arial" w:cs="Arial"/>
                <w:color w:val="000000" w:themeColor="text1"/>
                <w:sz w:val="20"/>
                <w:szCs w:val="20"/>
              </w:rPr>
              <w:t>JEV 20080446</w:t>
            </w:r>
          </w:p>
        </w:tc>
        <w:tc>
          <w:tcPr>
            <w:tcW w:w="1747" w:type="dxa"/>
            <w:hideMark/>
          </w:tcPr>
          <w:p>
            <w:pPr>
              <w:ind w:right="597"/>
              <w:jc w:val="right"/>
              <w:rPr>
                <w:rFonts w:ascii="Arial" w:hAnsi="Arial" w:cs="Arial"/>
                <w:color w:val="000000" w:themeColor="text1"/>
                <w:sz w:val="20"/>
                <w:szCs w:val="20"/>
              </w:rPr>
            </w:pPr>
            <w:r>
              <w:rPr>
                <w:rFonts w:ascii="Arial" w:hAnsi="Arial" w:cs="Arial"/>
                <w:color w:val="000000" w:themeColor="text1"/>
                <w:sz w:val="20"/>
                <w:szCs w:val="20"/>
              </w:rPr>
              <w:t>74</w:t>
            </w:r>
          </w:p>
        </w:tc>
        <w:tc>
          <w:tcPr>
            <w:tcW w:w="2473" w:type="dxa"/>
            <w:hideMark/>
          </w:tcPr>
          <w:p>
            <w:pPr>
              <w:ind w:right="-110"/>
              <w:jc w:val="right"/>
              <w:rPr>
                <w:rFonts w:ascii="Arial" w:hAnsi="Arial" w:cs="Arial"/>
                <w:color w:val="000000" w:themeColor="text1"/>
                <w:sz w:val="20"/>
                <w:szCs w:val="20"/>
              </w:rPr>
            </w:pPr>
            <w:r>
              <w:rPr>
                <w:rFonts w:ascii="Arial" w:hAnsi="Arial" w:cs="Arial"/>
                <w:color w:val="000000" w:themeColor="text1"/>
                <w:sz w:val="20"/>
                <w:szCs w:val="20"/>
              </w:rPr>
              <w:t>117,294,662</w:t>
            </w:r>
          </w:p>
        </w:tc>
      </w:tr>
      <w:tr>
        <w:tc>
          <w:tcPr>
            <w:tcW w:w="1704" w:type="dxa"/>
            <w:hideMark/>
          </w:tcPr>
          <w:p>
            <w:pPr>
              <w:ind w:left="-110"/>
              <w:rPr>
                <w:rFonts w:ascii="Arial" w:hAnsi="Arial" w:cs="Arial"/>
                <w:color w:val="000000" w:themeColor="text1"/>
                <w:sz w:val="20"/>
                <w:szCs w:val="20"/>
              </w:rPr>
            </w:pPr>
            <w:r>
              <w:rPr>
                <w:rFonts w:ascii="Arial" w:hAnsi="Arial" w:cs="Arial"/>
                <w:color w:val="000000" w:themeColor="text1"/>
                <w:sz w:val="20"/>
                <w:szCs w:val="20"/>
              </w:rPr>
              <w:t>9/30/20</w:t>
            </w:r>
          </w:p>
        </w:tc>
        <w:tc>
          <w:tcPr>
            <w:tcW w:w="1936" w:type="dxa"/>
            <w:hideMark/>
          </w:tcPr>
          <w:p>
            <w:pPr>
              <w:jc w:val="center"/>
              <w:rPr>
                <w:rFonts w:ascii="Arial" w:hAnsi="Arial" w:cs="Arial"/>
                <w:color w:val="000000" w:themeColor="text1"/>
                <w:sz w:val="20"/>
                <w:szCs w:val="20"/>
              </w:rPr>
            </w:pPr>
            <w:r>
              <w:rPr>
                <w:rFonts w:ascii="Arial" w:hAnsi="Arial" w:cs="Arial"/>
                <w:color w:val="000000" w:themeColor="text1"/>
                <w:sz w:val="20"/>
                <w:szCs w:val="20"/>
              </w:rPr>
              <w:t>JEV 20090537</w:t>
            </w:r>
          </w:p>
        </w:tc>
        <w:tc>
          <w:tcPr>
            <w:tcW w:w="1747" w:type="dxa"/>
            <w:hideMark/>
          </w:tcPr>
          <w:p>
            <w:pPr>
              <w:ind w:right="597"/>
              <w:jc w:val="right"/>
              <w:rPr>
                <w:rFonts w:ascii="Arial" w:hAnsi="Arial" w:cs="Arial"/>
                <w:color w:val="000000" w:themeColor="text1"/>
                <w:sz w:val="20"/>
                <w:szCs w:val="20"/>
              </w:rPr>
            </w:pPr>
            <w:r>
              <w:rPr>
                <w:rFonts w:ascii="Arial" w:hAnsi="Arial" w:cs="Arial"/>
                <w:color w:val="000000" w:themeColor="text1"/>
                <w:sz w:val="20"/>
                <w:szCs w:val="20"/>
              </w:rPr>
              <w:t>34</w:t>
            </w:r>
          </w:p>
        </w:tc>
        <w:tc>
          <w:tcPr>
            <w:tcW w:w="2473" w:type="dxa"/>
            <w:hideMark/>
          </w:tcPr>
          <w:p>
            <w:pPr>
              <w:ind w:right="-110"/>
              <w:jc w:val="right"/>
              <w:rPr>
                <w:rFonts w:ascii="Arial" w:hAnsi="Arial" w:cs="Arial"/>
                <w:color w:val="000000" w:themeColor="text1"/>
                <w:sz w:val="20"/>
                <w:szCs w:val="20"/>
              </w:rPr>
            </w:pPr>
            <w:r>
              <w:rPr>
                <w:rFonts w:ascii="Arial" w:hAnsi="Arial" w:cs="Arial"/>
                <w:color w:val="000000" w:themeColor="text1"/>
                <w:sz w:val="20"/>
                <w:szCs w:val="20"/>
              </w:rPr>
              <w:t>53,892,142</w:t>
            </w:r>
          </w:p>
        </w:tc>
      </w:tr>
      <w:tr>
        <w:tc>
          <w:tcPr>
            <w:tcW w:w="1704" w:type="dxa"/>
            <w:tcBorders>
              <w:bottom w:val="single" w:sz="4" w:space="0" w:color="auto"/>
            </w:tcBorders>
            <w:hideMark/>
          </w:tcPr>
          <w:p>
            <w:pPr>
              <w:ind w:left="-110"/>
              <w:rPr>
                <w:rFonts w:ascii="Arial" w:hAnsi="Arial" w:cs="Arial"/>
                <w:color w:val="000000" w:themeColor="text1"/>
                <w:sz w:val="20"/>
                <w:szCs w:val="20"/>
              </w:rPr>
            </w:pPr>
            <w:r>
              <w:rPr>
                <w:rFonts w:ascii="Arial" w:hAnsi="Arial" w:cs="Arial"/>
                <w:color w:val="000000" w:themeColor="text1"/>
                <w:sz w:val="20"/>
                <w:szCs w:val="20"/>
              </w:rPr>
              <w:t>11/30/20</w:t>
            </w:r>
          </w:p>
        </w:tc>
        <w:tc>
          <w:tcPr>
            <w:tcW w:w="1936" w:type="dxa"/>
            <w:tcBorders>
              <w:bottom w:val="single" w:sz="4" w:space="0" w:color="auto"/>
            </w:tcBorders>
            <w:hideMark/>
          </w:tcPr>
          <w:p>
            <w:pPr>
              <w:jc w:val="center"/>
              <w:rPr>
                <w:rFonts w:ascii="Arial" w:hAnsi="Arial" w:cs="Arial"/>
                <w:color w:val="000000" w:themeColor="text1"/>
                <w:sz w:val="20"/>
                <w:szCs w:val="20"/>
              </w:rPr>
            </w:pPr>
            <w:r>
              <w:rPr>
                <w:rFonts w:ascii="Arial" w:hAnsi="Arial" w:cs="Arial"/>
                <w:color w:val="000000" w:themeColor="text1"/>
                <w:sz w:val="20"/>
                <w:szCs w:val="20"/>
              </w:rPr>
              <w:t>JEV 20110966</w:t>
            </w:r>
          </w:p>
        </w:tc>
        <w:tc>
          <w:tcPr>
            <w:tcW w:w="1747" w:type="dxa"/>
            <w:tcBorders>
              <w:bottom w:val="single" w:sz="4" w:space="0" w:color="auto"/>
            </w:tcBorders>
            <w:hideMark/>
          </w:tcPr>
          <w:p>
            <w:pPr>
              <w:ind w:right="597"/>
              <w:jc w:val="right"/>
              <w:rPr>
                <w:rFonts w:ascii="Arial" w:hAnsi="Arial" w:cs="Arial"/>
                <w:color w:val="000000" w:themeColor="text1"/>
                <w:sz w:val="20"/>
                <w:szCs w:val="20"/>
              </w:rPr>
            </w:pPr>
            <w:r>
              <w:rPr>
                <w:rFonts w:ascii="Arial" w:hAnsi="Arial" w:cs="Arial"/>
                <w:color w:val="000000" w:themeColor="text1"/>
                <w:sz w:val="20"/>
                <w:szCs w:val="20"/>
              </w:rPr>
              <w:t>95</w:t>
            </w:r>
          </w:p>
        </w:tc>
        <w:tc>
          <w:tcPr>
            <w:tcW w:w="2473" w:type="dxa"/>
            <w:tcBorders>
              <w:bottom w:val="single" w:sz="4" w:space="0" w:color="auto"/>
            </w:tcBorders>
            <w:hideMark/>
          </w:tcPr>
          <w:p>
            <w:pPr>
              <w:ind w:right="-110"/>
              <w:jc w:val="right"/>
              <w:rPr>
                <w:rFonts w:ascii="Arial" w:hAnsi="Arial" w:cs="Arial"/>
                <w:color w:val="000000" w:themeColor="text1"/>
                <w:sz w:val="20"/>
                <w:szCs w:val="20"/>
              </w:rPr>
            </w:pPr>
            <w:r>
              <w:rPr>
                <w:rFonts w:ascii="Arial" w:hAnsi="Arial" w:cs="Arial"/>
                <w:color w:val="000000" w:themeColor="text1"/>
                <w:sz w:val="20"/>
                <w:szCs w:val="20"/>
              </w:rPr>
              <w:t>150,580,985</w:t>
            </w:r>
          </w:p>
        </w:tc>
      </w:tr>
      <w:tr>
        <w:tc>
          <w:tcPr>
            <w:tcW w:w="1704" w:type="dxa"/>
            <w:tcBorders>
              <w:top w:val="single" w:sz="4" w:space="0" w:color="auto"/>
              <w:bottom w:val="double" w:sz="4" w:space="0" w:color="auto"/>
            </w:tcBorders>
            <w:hideMark/>
          </w:tcPr>
          <w:p>
            <w:pPr>
              <w:ind w:left="-110"/>
              <w:rPr>
                <w:rFonts w:ascii="Arial" w:hAnsi="Arial" w:cs="Arial"/>
                <w:b/>
                <w:color w:val="000000" w:themeColor="text1"/>
                <w:sz w:val="20"/>
                <w:szCs w:val="20"/>
              </w:rPr>
            </w:pPr>
            <w:r>
              <w:rPr>
                <w:rFonts w:ascii="Arial" w:hAnsi="Arial" w:cs="Arial"/>
                <w:b/>
                <w:color w:val="000000" w:themeColor="text1"/>
                <w:sz w:val="20"/>
                <w:szCs w:val="20"/>
              </w:rPr>
              <w:t>Total</w:t>
            </w:r>
          </w:p>
        </w:tc>
        <w:tc>
          <w:tcPr>
            <w:tcW w:w="1936" w:type="dxa"/>
            <w:tcBorders>
              <w:top w:val="single" w:sz="4" w:space="0" w:color="auto"/>
              <w:bottom w:val="double" w:sz="4" w:space="0" w:color="auto"/>
            </w:tcBorders>
          </w:tcPr>
          <w:p>
            <w:pPr>
              <w:jc w:val="center"/>
              <w:rPr>
                <w:rFonts w:ascii="Arial" w:hAnsi="Arial" w:cs="Arial"/>
                <w:b/>
                <w:color w:val="000000" w:themeColor="text1"/>
                <w:sz w:val="20"/>
                <w:szCs w:val="20"/>
              </w:rPr>
            </w:pPr>
          </w:p>
        </w:tc>
        <w:tc>
          <w:tcPr>
            <w:tcW w:w="1747" w:type="dxa"/>
            <w:tcBorders>
              <w:top w:val="single" w:sz="4" w:space="0" w:color="auto"/>
              <w:bottom w:val="double" w:sz="4" w:space="0" w:color="auto"/>
            </w:tcBorders>
            <w:hideMark/>
          </w:tcPr>
          <w:p>
            <w:pPr>
              <w:ind w:right="597"/>
              <w:jc w:val="right"/>
              <w:rPr>
                <w:rFonts w:ascii="Arial" w:hAnsi="Arial" w:cs="Arial"/>
                <w:b/>
                <w:color w:val="000000" w:themeColor="text1"/>
                <w:sz w:val="20"/>
                <w:szCs w:val="20"/>
              </w:rPr>
            </w:pPr>
            <w:r>
              <w:rPr>
                <w:rFonts w:ascii="Arial" w:hAnsi="Arial" w:cs="Arial"/>
                <w:b/>
                <w:color w:val="000000" w:themeColor="text1"/>
                <w:sz w:val="20"/>
                <w:szCs w:val="20"/>
              </w:rPr>
              <w:t>293</w:t>
            </w:r>
          </w:p>
        </w:tc>
        <w:tc>
          <w:tcPr>
            <w:tcW w:w="2473" w:type="dxa"/>
            <w:tcBorders>
              <w:top w:val="single" w:sz="4" w:space="0" w:color="auto"/>
              <w:bottom w:val="double" w:sz="4" w:space="0" w:color="auto"/>
            </w:tcBorders>
            <w:hideMark/>
          </w:tcPr>
          <w:p>
            <w:pPr>
              <w:ind w:right="-110"/>
              <w:jc w:val="right"/>
              <w:rPr>
                <w:rFonts w:ascii="Arial" w:hAnsi="Arial" w:cs="Arial"/>
                <w:b/>
                <w:color w:val="000000" w:themeColor="text1"/>
                <w:sz w:val="20"/>
                <w:szCs w:val="20"/>
              </w:rPr>
            </w:pPr>
            <w:r>
              <w:rPr>
                <w:rFonts w:ascii="Arial" w:hAnsi="Arial" w:cs="Arial"/>
                <w:b/>
                <w:color w:val="000000" w:themeColor="text1"/>
                <w:sz w:val="20"/>
                <w:szCs w:val="20"/>
              </w:rPr>
              <w:t>P464,423,459</w:t>
            </w:r>
          </w:p>
        </w:tc>
      </w:tr>
    </w:tbl>
    <w:p>
      <w:pPr>
        <w:spacing w:after="0" w:line="240" w:lineRule="auto"/>
        <w:jc w:val="both"/>
        <w:rPr>
          <w:rFonts w:ascii="Arial" w:hAnsi="Arial" w:cs="Arial"/>
        </w:rPr>
      </w:pPr>
    </w:p>
    <w:p>
      <w:pPr>
        <w:pStyle w:val="ListParagraph"/>
        <w:numPr>
          <w:ilvl w:val="1"/>
          <w:numId w:val="21"/>
        </w:numPr>
        <w:ind w:left="1418" w:hanging="709"/>
        <w:jc w:val="both"/>
        <w:rPr>
          <w:rFonts w:ascii="Arial" w:hAnsi="Arial" w:cs="Arial"/>
        </w:rPr>
      </w:pPr>
      <w:r>
        <w:rPr>
          <w:rFonts w:ascii="Arial" w:hAnsi="Arial" w:cs="Arial"/>
          <w:sz w:val="22"/>
          <w:szCs w:val="22"/>
        </w:rPr>
        <w:t>Examination of the Journal Entry Vouchers (JEVs), however, disclosed that the release of the subject PTV units were supported only by the unsigned report showing the list of beneficiaries and date of release.  It was not supported with the MTV unit release form and other documents that would prove that the said PTV units were turned over and accepted by the beneficiaries, contrary to Section XI (4) of the Guidelines for MTVDP.  It was also noted that the original copy of JEV No. 20050237 dated May 31, 2020 and its supporting documents for the release of the 50 PTV units amounting to P79.253 million were not submitted to the Audit Team.</w:t>
      </w:r>
    </w:p>
    <w:p>
      <w:pPr>
        <w:pStyle w:val="ListParagraph"/>
        <w:ind w:left="1418"/>
        <w:jc w:val="both"/>
        <w:rPr>
          <w:rFonts w:ascii="Arial" w:hAnsi="Arial" w:cs="Arial"/>
          <w:sz w:val="22"/>
          <w:szCs w:val="22"/>
          <w:lang w:val="en-PH" w:eastAsia="ar-SA"/>
        </w:rPr>
      </w:pPr>
    </w:p>
    <w:p>
      <w:pPr>
        <w:pStyle w:val="ListParagraph"/>
        <w:numPr>
          <w:ilvl w:val="1"/>
          <w:numId w:val="21"/>
        </w:numPr>
        <w:ind w:left="1418" w:hanging="709"/>
        <w:jc w:val="both"/>
        <w:rPr>
          <w:rFonts w:ascii="Arial" w:hAnsi="Arial" w:cs="Arial"/>
          <w:sz w:val="22"/>
          <w:szCs w:val="22"/>
          <w:lang w:val="en-PH" w:eastAsia="ar-SA"/>
        </w:rPr>
      </w:pPr>
      <w:r>
        <w:rPr>
          <w:rFonts w:ascii="Arial" w:hAnsi="Arial" w:cs="Arial"/>
          <w:sz w:val="22"/>
          <w:szCs w:val="22"/>
        </w:rPr>
        <w:t>Likewise, it was noted that out of the 293 units of PTV that were turned over to the concerned beneficiaries during CYs 2019 and 2020, 80 PTV units were released without the signed DOD.</w:t>
      </w:r>
    </w:p>
    <w:p>
      <w:pPr>
        <w:pStyle w:val="ListParagraph"/>
        <w:ind w:left="1418"/>
        <w:jc w:val="both"/>
        <w:rPr>
          <w:rFonts w:ascii="Arial" w:hAnsi="Arial" w:cs="Arial"/>
          <w:sz w:val="22"/>
          <w:szCs w:val="22"/>
          <w:lang w:val="en-PH" w:eastAsia="ar-SA"/>
        </w:rPr>
      </w:pPr>
    </w:p>
    <w:p>
      <w:pPr>
        <w:pStyle w:val="ListParagraph"/>
        <w:numPr>
          <w:ilvl w:val="1"/>
          <w:numId w:val="21"/>
        </w:numPr>
        <w:ind w:left="1418" w:hanging="709"/>
        <w:jc w:val="both"/>
        <w:rPr>
          <w:rFonts w:ascii="Arial" w:hAnsi="Arial" w:cs="Arial"/>
          <w:sz w:val="22"/>
          <w:szCs w:val="22"/>
          <w:lang w:val="en-PH" w:eastAsia="ar-SA"/>
        </w:rPr>
      </w:pPr>
      <w:r>
        <w:rPr>
          <w:rFonts w:ascii="Arial" w:hAnsi="Arial" w:cs="Arial"/>
          <w:sz w:val="22"/>
          <w:szCs w:val="22"/>
        </w:rPr>
        <w:t>The DOD is one of the important documents that will bind the PCSO and the beneficiary on the proper maintenance and utilization of the donated PTV.</w:t>
      </w:r>
    </w:p>
    <w:p>
      <w:pPr>
        <w:pStyle w:val="ListParagraph"/>
        <w:rPr>
          <w:rFonts w:ascii="Arial" w:hAnsi="Arial" w:cs="Arial"/>
          <w:sz w:val="22"/>
          <w:szCs w:val="22"/>
          <w:lang w:val="en-PH" w:eastAsia="ar-SA"/>
        </w:rPr>
      </w:pPr>
    </w:p>
    <w:p>
      <w:pPr>
        <w:pStyle w:val="ListParagraph"/>
        <w:numPr>
          <w:ilvl w:val="1"/>
          <w:numId w:val="21"/>
        </w:numPr>
        <w:ind w:left="1418" w:hanging="709"/>
        <w:jc w:val="both"/>
        <w:rPr>
          <w:rFonts w:ascii="Arial" w:hAnsi="Arial" w:cs="Arial"/>
          <w:sz w:val="22"/>
          <w:szCs w:val="22"/>
          <w:lang w:val="en-PH" w:eastAsia="ar-SA"/>
        </w:rPr>
      </w:pPr>
      <w:r>
        <w:rPr>
          <w:rFonts w:ascii="Arial" w:hAnsi="Arial" w:cs="Arial"/>
          <w:sz w:val="22"/>
          <w:szCs w:val="22"/>
        </w:rPr>
        <w:t>Considering that these PTV units were already turned over to the beneficiaries during CYs 2019 and  2020, the DODs for the release of the subject PTVs should have already been on file with the CAD pursuant to Section XI (4) of the Guidelines for MTVDP and copies thereof furnished to the Audit Team for evaluation.</w:t>
      </w: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pStyle w:val="ListParagraph"/>
        <w:numPr>
          <w:ilvl w:val="1"/>
          <w:numId w:val="21"/>
        </w:numPr>
        <w:ind w:left="1418" w:hanging="709"/>
        <w:jc w:val="both"/>
        <w:rPr>
          <w:rFonts w:ascii="Arial" w:hAnsi="Arial" w:cs="Arial"/>
          <w:sz w:val="22"/>
          <w:szCs w:val="22"/>
        </w:rPr>
      </w:pPr>
      <w:r>
        <w:rPr>
          <w:rFonts w:ascii="Arial" w:hAnsi="Arial" w:cs="Arial"/>
          <w:b/>
          <w:bCs/>
          <w:sz w:val="22"/>
          <w:szCs w:val="22"/>
        </w:rPr>
        <w:t>We recommended that Management:</w:t>
      </w:r>
    </w:p>
    <w:p>
      <w:pPr>
        <w:pStyle w:val="ListParagraph"/>
        <w:ind w:left="1440"/>
        <w:jc w:val="both"/>
        <w:rPr>
          <w:rFonts w:ascii="Arial" w:hAnsi="Arial" w:cs="Arial"/>
          <w:b/>
          <w:bCs/>
          <w:sz w:val="22"/>
          <w:szCs w:val="22"/>
        </w:rPr>
      </w:pPr>
    </w:p>
    <w:p>
      <w:pPr>
        <w:pStyle w:val="ListParagraph"/>
        <w:numPr>
          <w:ilvl w:val="0"/>
          <w:numId w:val="11"/>
        </w:numPr>
        <w:ind w:left="1985" w:hanging="567"/>
        <w:jc w:val="both"/>
        <w:rPr>
          <w:rFonts w:ascii="Arial" w:hAnsi="Arial" w:cs="Arial"/>
          <w:b/>
          <w:bCs/>
          <w:sz w:val="22"/>
          <w:szCs w:val="22"/>
        </w:rPr>
      </w:pPr>
      <w:r>
        <w:rPr>
          <w:rFonts w:ascii="Arial" w:hAnsi="Arial" w:cs="Arial"/>
          <w:b/>
          <w:bCs/>
          <w:sz w:val="22"/>
          <w:szCs w:val="22"/>
        </w:rPr>
        <w:t>Direct the CAD to:</w:t>
      </w:r>
    </w:p>
    <w:p>
      <w:pPr>
        <w:pStyle w:val="ListParagraph"/>
        <w:ind w:left="1440"/>
        <w:jc w:val="both"/>
        <w:rPr>
          <w:rFonts w:ascii="Arial" w:hAnsi="Arial" w:cs="Arial"/>
          <w:b/>
          <w:bCs/>
          <w:sz w:val="22"/>
          <w:szCs w:val="22"/>
        </w:rPr>
      </w:pPr>
    </w:p>
    <w:p>
      <w:pPr>
        <w:pStyle w:val="ListParagraph"/>
        <w:tabs>
          <w:tab w:val="left" w:pos="1418"/>
        </w:tabs>
        <w:ind w:left="2552" w:hanging="567"/>
        <w:jc w:val="both"/>
        <w:rPr>
          <w:rFonts w:ascii="Arial" w:hAnsi="Arial" w:cs="Arial"/>
          <w:b/>
          <w:bCs/>
          <w:sz w:val="22"/>
          <w:szCs w:val="22"/>
        </w:rPr>
      </w:pPr>
      <w:r>
        <w:rPr>
          <w:rFonts w:ascii="Arial" w:hAnsi="Arial" w:cs="Arial"/>
          <w:b/>
          <w:sz w:val="22"/>
          <w:szCs w:val="22"/>
        </w:rPr>
        <w:t xml:space="preserve">a.1 </w:t>
      </w:r>
      <w:r>
        <w:rPr>
          <w:rFonts w:ascii="Arial" w:hAnsi="Arial" w:cs="Arial"/>
          <w:b/>
          <w:sz w:val="22"/>
          <w:szCs w:val="22"/>
        </w:rPr>
        <w:tab/>
        <w:t>Ensure that the implementation of the MTVDP is well-planned and coordinated to avoid over procurement  and where the items are not put into productive use, resulting in waste of government resources</w:t>
      </w:r>
      <w:r>
        <w:rPr>
          <w:rFonts w:ascii="Arial" w:hAnsi="Arial" w:cs="Arial"/>
          <w:b/>
          <w:bCs/>
          <w:sz w:val="22"/>
          <w:szCs w:val="22"/>
        </w:rPr>
        <w:t xml:space="preserve">; </w:t>
      </w:r>
    </w:p>
    <w:p>
      <w:pPr>
        <w:pStyle w:val="ListParagraph"/>
        <w:tabs>
          <w:tab w:val="left" w:pos="1418"/>
        </w:tabs>
        <w:ind w:left="1985" w:hanging="567"/>
        <w:jc w:val="both"/>
        <w:rPr>
          <w:rFonts w:ascii="Arial" w:hAnsi="Arial" w:cs="Arial"/>
          <w:b/>
          <w:bCs/>
          <w:sz w:val="22"/>
          <w:szCs w:val="22"/>
        </w:rPr>
      </w:pPr>
    </w:p>
    <w:p>
      <w:pPr>
        <w:pStyle w:val="ListParagraph"/>
        <w:tabs>
          <w:tab w:val="left" w:pos="1418"/>
        </w:tabs>
        <w:ind w:left="2552" w:hanging="709"/>
        <w:jc w:val="both"/>
        <w:rPr>
          <w:rFonts w:ascii="Arial" w:hAnsi="Arial" w:cs="Arial"/>
          <w:sz w:val="22"/>
          <w:szCs w:val="22"/>
        </w:rPr>
      </w:pPr>
      <w:r>
        <w:rPr>
          <w:rFonts w:ascii="Arial" w:hAnsi="Arial" w:cs="Arial"/>
          <w:b/>
          <w:sz w:val="22"/>
          <w:szCs w:val="22"/>
        </w:rPr>
        <w:t xml:space="preserve">a.2 </w:t>
      </w:r>
      <w:r>
        <w:rPr>
          <w:rFonts w:ascii="Arial" w:hAnsi="Arial" w:cs="Arial"/>
          <w:b/>
          <w:sz w:val="22"/>
          <w:szCs w:val="22"/>
        </w:rPr>
        <w:tab/>
        <w:t>Cause the immediate submission by the 42 beneficiaries of the EMSVs of the required proof of registration with the DOH as ASP, otherwise, impose the sanctions provided under Section XII (A.3) of the Guidelines for the PCSO MTVDP</w:t>
      </w:r>
      <w:r>
        <w:rPr>
          <w:rFonts w:ascii="Arial" w:hAnsi="Arial" w:cs="Arial"/>
          <w:b/>
          <w:bCs/>
          <w:sz w:val="22"/>
          <w:szCs w:val="22"/>
        </w:rPr>
        <w:t>; and</w:t>
      </w:r>
    </w:p>
    <w:p>
      <w:pPr>
        <w:pStyle w:val="ListParagraph"/>
        <w:ind w:left="2552"/>
        <w:rPr>
          <w:rFonts w:ascii="Arial" w:hAnsi="Arial" w:cs="Arial"/>
          <w:sz w:val="22"/>
          <w:szCs w:val="22"/>
        </w:rPr>
      </w:pPr>
    </w:p>
    <w:p>
      <w:pPr>
        <w:pStyle w:val="ListParagraph"/>
        <w:ind w:left="2552" w:right="-7" w:hanging="709"/>
        <w:jc w:val="both"/>
        <w:rPr>
          <w:rFonts w:ascii="Arial" w:hAnsi="Arial" w:cs="Arial"/>
          <w:b/>
          <w:sz w:val="22"/>
          <w:szCs w:val="22"/>
        </w:rPr>
      </w:pPr>
      <w:r>
        <w:rPr>
          <w:rFonts w:ascii="Arial" w:hAnsi="Arial" w:cs="Arial"/>
          <w:b/>
          <w:sz w:val="22"/>
          <w:szCs w:val="22"/>
        </w:rPr>
        <w:t>a.3</w:t>
      </w:r>
      <w:r>
        <w:rPr>
          <w:rFonts w:ascii="Arial" w:hAnsi="Arial" w:cs="Arial"/>
          <w:b/>
          <w:sz w:val="22"/>
          <w:szCs w:val="22"/>
        </w:rPr>
        <w:tab/>
        <w:t xml:space="preserve">Cause the </w:t>
      </w:r>
      <w:r>
        <w:rPr>
          <w:rFonts w:ascii="Arial" w:hAnsi="Arial" w:cs="Arial"/>
          <w:b/>
          <w:iCs/>
          <w:sz w:val="22"/>
          <w:szCs w:val="22"/>
        </w:rPr>
        <w:t xml:space="preserve">submission of the </w:t>
      </w:r>
      <w:r>
        <w:rPr>
          <w:rFonts w:ascii="Arial" w:hAnsi="Arial" w:cs="Arial"/>
          <w:b/>
          <w:sz w:val="22"/>
          <w:szCs w:val="22"/>
        </w:rPr>
        <w:t>grant release documentations for the 293 units of PTV as</w:t>
      </w:r>
      <w:r>
        <w:rPr>
          <w:rFonts w:ascii="Arial" w:hAnsi="Arial" w:cs="Arial"/>
          <w:i/>
          <w:sz w:val="22"/>
          <w:szCs w:val="22"/>
        </w:rPr>
        <w:t xml:space="preserve"> </w:t>
      </w:r>
      <w:r>
        <w:rPr>
          <w:rFonts w:ascii="Arial" w:hAnsi="Arial" w:cs="Arial"/>
          <w:b/>
          <w:sz w:val="22"/>
          <w:szCs w:val="22"/>
        </w:rPr>
        <w:t>required under Section XI (4) of the Guidelines for the MTVDP.</w:t>
      </w:r>
    </w:p>
    <w:p>
      <w:pPr>
        <w:pStyle w:val="ListParagraph"/>
        <w:rPr>
          <w:rFonts w:ascii="Arial" w:hAnsi="Arial" w:cs="Arial"/>
          <w:sz w:val="22"/>
          <w:szCs w:val="22"/>
        </w:rPr>
      </w:pPr>
    </w:p>
    <w:p>
      <w:pPr>
        <w:pStyle w:val="ListParagraph"/>
        <w:numPr>
          <w:ilvl w:val="0"/>
          <w:numId w:val="11"/>
        </w:numPr>
        <w:tabs>
          <w:tab w:val="left" w:pos="1418"/>
        </w:tabs>
        <w:ind w:left="1985" w:hanging="567"/>
        <w:jc w:val="both"/>
        <w:rPr>
          <w:rFonts w:ascii="Arial" w:hAnsi="Arial" w:cs="Arial"/>
          <w:sz w:val="22"/>
          <w:szCs w:val="22"/>
        </w:rPr>
      </w:pPr>
      <w:r>
        <w:rPr>
          <w:rFonts w:ascii="Arial" w:hAnsi="Arial" w:cs="Arial"/>
          <w:b/>
          <w:bCs/>
          <w:iCs/>
          <w:sz w:val="22"/>
          <w:szCs w:val="22"/>
          <w:lang w:val="en-PH" w:eastAsia="en-PH"/>
        </w:rPr>
        <w:t xml:space="preserve">Require the ABD to ensure that the JEVs relating to the release of  </w:t>
      </w:r>
      <w:r>
        <w:rPr>
          <w:rFonts w:ascii="Arial" w:hAnsi="Arial" w:cs="Arial"/>
          <w:b/>
          <w:sz w:val="22"/>
          <w:szCs w:val="22"/>
          <w:lang w:val="en-PH" w:eastAsia="ar-SA"/>
        </w:rPr>
        <w:t>donated PTVs are duly supported with complete documentation.</w:t>
      </w:r>
    </w:p>
    <w:p>
      <w:pPr>
        <w:tabs>
          <w:tab w:val="left" w:pos="1418"/>
        </w:tabs>
        <w:spacing w:after="0" w:line="240" w:lineRule="auto"/>
        <w:jc w:val="both"/>
        <w:rPr>
          <w:rFonts w:ascii="Arial" w:hAnsi="Arial" w:cs="Arial"/>
        </w:rPr>
      </w:pPr>
    </w:p>
    <w:p>
      <w:pPr>
        <w:pStyle w:val="ListParagraph"/>
        <w:numPr>
          <w:ilvl w:val="1"/>
          <w:numId w:val="21"/>
        </w:numPr>
        <w:ind w:left="1418" w:hanging="709"/>
        <w:jc w:val="both"/>
        <w:rPr>
          <w:rFonts w:ascii="Arial" w:hAnsi="Arial" w:cs="Arial"/>
          <w:sz w:val="22"/>
          <w:szCs w:val="22"/>
        </w:rPr>
      </w:pPr>
      <w:r>
        <w:rPr>
          <w:rFonts w:ascii="Arial" w:hAnsi="Arial" w:cs="Arial"/>
          <w:sz w:val="22"/>
          <w:szCs w:val="22"/>
        </w:rPr>
        <w:t>Management explained that:</w:t>
      </w:r>
    </w:p>
    <w:p>
      <w:pPr>
        <w:pStyle w:val="ListParagraph"/>
        <w:ind w:left="1440"/>
        <w:jc w:val="both"/>
        <w:rPr>
          <w:rFonts w:ascii="Arial" w:hAnsi="Arial" w:cs="Arial"/>
          <w:sz w:val="22"/>
          <w:szCs w:val="22"/>
        </w:rPr>
      </w:pPr>
    </w:p>
    <w:p>
      <w:pPr>
        <w:pStyle w:val="ListParagraph"/>
        <w:numPr>
          <w:ilvl w:val="0"/>
          <w:numId w:val="18"/>
        </w:numPr>
        <w:ind w:left="1985" w:hanging="567"/>
        <w:jc w:val="both"/>
        <w:rPr>
          <w:rFonts w:ascii="Arial" w:hAnsi="Arial" w:cs="Arial"/>
          <w:color w:val="000000" w:themeColor="text1"/>
          <w:sz w:val="22"/>
          <w:szCs w:val="22"/>
        </w:rPr>
      </w:pPr>
      <w:r>
        <w:rPr>
          <w:rFonts w:ascii="Arial" w:hAnsi="Arial" w:cs="Arial"/>
          <w:color w:val="000000" w:themeColor="text1"/>
          <w:sz w:val="22"/>
          <w:szCs w:val="22"/>
        </w:rPr>
        <w:t>The beneficiaries of the three (3) units of EMSV were identified through BR No. 0203, s. 2020.</w:t>
      </w:r>
    </w:p>
    <w:p>
      <w:pPr>
        <w:pStyle w:val="ListParagraph"/>
        <w:ind w:left="1980"/>
        <w:jc w:val="both"/>
        <w:rPr>
          <w:rFonts w:ascii="Arial" w:hAnsi="Arial" w:cs="Arial"/>
          <w:color w:val="000000" w:themeColor="text1"/>
          <w:sz w:val="22"/>
          <w:szCs w:val="22"/>
        </w:rPr>
      </w:pPr>
    </w:p>
    <w:p>
      <w:pPr>
        <w:pStyle w:val="ListParagraph"/>
        <w:numPr>
          <w:ilvl w:val="0"/>
          <w:numId w:val="18"/>
        </w:numPr>
        <w:ind w:left="1985" w:hanging="567"/>
        <w:jc w:val="both"/>
        <w:rPr>
          <w:rFonts w:ascii="Arial" w:hAnsi="Arial" w:cs="Arial"/>
          <w:color w:val="000000" w:themeColor="text1"/>
          <w:sz w:val="22"/>
          <w:szCs w:val="22"/>
        </w:rPr>
      </w:pPr>
      <w:r>
        <w:rPr>
          <w:rFonts w:ascii="Arial" w:hAnsi="Arial" w:cs="Arial"/>
          <w:color w:val="000000" w:themeColor="text1"/>
          <w:sz w:val="22"/>
          <w:szCs w:val="22"/>
        </w:rPr>
        <w:t>The CAD will send letters to the 40 recipients requiring them to register the EMSVs with the DOH as ASP within 90 days. Otherwise, Section XII (A.3) of the Guidelines shall be applied.</w:t>
      </w:r>
    </w:p>
    <w:p>
      <w:pPr>
        <w:pStyle w:val="ListParagraph"/>
        <w:rPr>
          <w:rFonts w:ascii="Arial" w:hAnsi="Arial" w:cs="Arial"/>
          <w:color w:val="000000" w:themeColor="text1"/>
          <w:sz w:val="22"/>
          <w:szCs w:val="22"/>
        </w:rPr>
      </w:pPr>
    </w:p>
    <w:p>
      <w:pPr>
        <w:pStyle w:val="ListParagraph"/>
        <w:numPr>
          <w:ilvl w:val="0"/>
          <w:numId w:val="18"/>
        </w:numPr>
        <w:ind w:left="1985" w:hanging="567"/>
        <w:jc w:val="both"/>
        <w:rPr>
          <w:rFonts w:ascii="Arial" w:hAnsi="Arial" w:cs="Arial"/>
          <w:color w:val="000000" w:themeColor="text1"/>
          <w:sz w:val="22"/>
          <w:szCs w:val="22"/>
        </w:rPr>
      </w:pPr>
      <w:r>
        <w:rPr>
          <w:rFonts w:ascii="Arial" w:hAnsi="Arial" w:cs="Arial"/>
          <w:color w:val="000000" w:themeColor="text1"/>
          <w:sz w:val="22"/>
          <w:szCs w:val="22"/>
        </w:rPr>
        <w:t>The 80 DODs have pending status due to incomplete documentary requirements/not notarized and are still being followed up/gathered from the recipients by the CAD.</w:t>
      </w:r>
    </w:p>
    <w:p>
      <w:pPr>
        <w:pStyle w:val="ListParagraph"/>
        <w:rPr>
          <w:rFonts w:ascii="Arial" w:hAnsi="Arial" w:cs="Arial"/>
          <w:color w:val="000000" w:themeColor="text1"/>
          <w:sz w:val="22"/>
          <w:szCs w:val="22"/>
          <w:lang w:val="en-PH"/>
        </w:rPr>
      </w:pPr>
    </w:p>
    <w:p>
      <w:pPr>
        <w:pStyle w:val="ListParagraph"/>
        <w:numPr>
          <w:ilvl w:val="0"/>
          <w:numId w:val="18"/>
        </w:numPr>
        <w:ind w:left="1985" w:hanging="567"/>
        <w:jc w:val="both"/>
        <w:rPr>
          <w:rFonts w:ascii="Arial" w:hAnsi="Arial" w:cs="Arial"/>
          <w:color w:val="000000" w:themeColor="text1"/>
          <w:sz w:val="22"/>
          <w:szCs w:val="22"/>
        </w:rPr>
      </w:pPr>
      <w:r>
        <w:rPr>
          <w:rFonts w:ascii="Arial" w:hAnsi="Arial" w:cs="Arial"/>
          <w:color w:val="000000" w:themeColor="text1"/>
          <w:sz w:val="22"/>
          <w:szCs w:val="22"/>
          <w:lang w:val="en-PH"/>
        </w:rPr>
        <w:t>The ABD will comply and it has already coordinated with the CAD for the submission of complete supporting documents for the JEVs relating to the release of 293 units of PTV.  Rest assured that the ABD will ensure the completeness of documentations to support all entries in the JEVs.</w:t>
      </w:r>
    </w:p>
    <w:p>
      <w:pPr>
        <w:pStyle w:val="ListParagraph"/>
        <w:rPr>
          <w:rFonts w:ascii="Arial" w:hAnsi="Arial" w:cs="Arial"/>
          <w:color w:val="000000" w:themeColor="text1"/>
          <w:sz w:val="22"/>
          <w:szCs w:val="22"/>
        </w:rPr>
      </w:pPr>
    </w:p>
    <w:p>
      <w:pPr>
        <w:pStyle w:val="ListParagraph"/>
        <w:numPr>
          <w:ilvl w:val="1"/>
          <w:numId w:val="21"/>
        </w:numPr>
        <w:ind w:left="1418" w:hanging="709"/>
        <w:jc w:val="both"/>
        <w:rPr>
          <w:rFonts w:ascii="Arial" w:hAnsi="Arial" w:cs="Arial"/>
          <w:color w:val="000000" w:themeColor="text1"/>
          <w:sz w:val="22"/>
          <w:szCs w:val="22"/>
        </w:rPr>
      </w:pPr>
      <w:r>
        <w:rPr>
          <w:rFonts w:ascii="Arial" w:hAnsi="Arial" w:cs="Arial"/>
          <w:color w:val="000000" w:themeColor="text1"/>
          <w:sz w:val="22"/>
          <w:szCs w:val="22"/>
        </w:rPr>
        <w:t xml:space="preserve">As a rejoinder, the Audit Team would like to emphasize that the CAD should ensure that before the release of the donated PTVs to the concerned beneficiaries, all the documentary requirements under </w:t>
      </w:r>
      <w:r>
        <w:rPr>
          <w:rFonts w:ascii="Arial" w:hAnsi="Arial" w:cs="Arial"/>
          <w:sz w:val="22"/>
          <w:szCs w:val="22"/>
        </w:rPr>
        <w:t>Section XI (4) of the Guidelines for MTVDP are duly complied with to prove that the PTV units are properly turned over and accepted by the beneficiaries.</w:t>
      </w:r>
    </w:p>
    <w:p>
      <w:pPr>
        <w:spacing w:after="0" w:line="240" w:lineRule="auto"/>
        <w:jc w:val="both"/>
        <w:rPr>
          <w:rFonts w:ascii="Arial" w:hAnsi="Arial" w:cs="Arial"/>
          <w:color w:val="000000" w:themeColor="text1"/>
        </w:rPr>
      </w:pPr>
    </w:p>
    <w:p>
      <w:pPr>
        <w:spacing w:after="0" w:line="240" w:lineRule="auto"/>
        <w:jc w:val="both"/>
        <w:rPr>
          <w:rFonts w:ascii="Arial" w:hAnsi="Arial" w:cs="Arial"/>
          <w:color w:val="000000" w:themeColor="text1"/>
        </w:rPr>
      </w:pPr>
    </w:p>
    <w:p>
      <w:pPr>
        <w:pStyle w:val="ListParagraph"/>
        <w:numPr>
          <w:ilvl w:val="0"/>
          <w:numId w:val="6"/>
        </w:numPr>
        <w:ind w:left="720" w:hanging="720"/>
        <w:jc w:val="both"/>
        <w:rPr>
          <w:rFonts w:ascii="Arial" w:hAnsi="Arial" w:cs="Arial"/>
          <w:b/>
          <w:color w:val="000000" w:themeColor="text1"/>
          <w:sz w:val="22"/>
          <w:szCs w:val="22"/>
        </w:rPr>
      </w:pPr>
      <w:r>
        <w:rPr>
          <w:rFonts w:ascii="Arial" w:hAnsi="Arial" w:cs="Arial"/>
          <w:b/>
          <w:color w:val="000000" w:themeColor="text1"/>
          <w:sz w:val="22"/>
          <w:szCs w:val="22"/>
        </w:rPr>
        <w:lastRenderedPageBreak/>
        <w:t>The PCSO disbursed/paid the amount of P95.107 million for its Special Share to the PCSO-Provident Fund, despite the disbursements/payments made thereto in previous years had been disallowed in audit and the yearly proposed budget therefor from CYs 2012 to 2020 has been consistently disapproved by the Department of Budget and Management (DBM) for want of legal basis.</w:t>
      </w:r>
    </w:p>
    <w:p>
      <w:pPr>
        <w:pStyle w:val="ListParagraph"/>
        <w:jc w:val="both"/>
        <w:rPr>
          <w:rFonts w:ascii="Arial" w:hAnsi="Arial" w:cs="Arial"/>
          <w:b/>
          <w:color w:val="000000" w:themeColor="text1"/>
          <w:sz w:val="22"/>
          <w:szCs w:val="22"/>
        </w:rPr>
      </w:pPr>
    </w:p>
    <w:p>
      <w:pPr>
        <w:pStyle w:val="ListParagraph"/>
        <w:numPr>
          <w:ilvl w:val="1"/>
          <w:numId w:val="22"/>
        </w:numPr>
        <w:ind w:left="1418" w:hanging="709"/>
        <w:jc w:val="both"/>
        <w:rPr>
          <w:rFonts w:ascii="Arial" w:hAnsi="Arial" w:cs="Arial"/>
          <w:b/>
          <w:color w:val="000000" w:themeColor="text1"/>
          <w:sz w:val="22"/>
          <w:szCs w:val="22"/>
        </w:rPr>
      </w:pPr>
      <w:r>
        <w:rPr>
          <w:rFonts w:ascii="Arial" w:hAnsi="Arial" w:cs="Arial"/>
          <w:sz w:val="22"/>
          <w:szCs w:val="22"/>
          <w:lang w:eastAsia="ar-SA"/>
        </w:rPr>
        <w:t>Executive Order (EO) No. 641 issued on July 25, 2007 authorizes the establishment of a Provident Funds in government agencies to serve as savings and loan credit facility that may cater to the needs of government officials and employees as well as to provide supplementary welfare benefits from the Fund</w:t>
      </w:r>
      <w:r>
        <w:rPr>
          <w:rFonts w:ascii="Arial" w:hAnsi="Arial" w:cs="Arial"/>
          <w:color w:val="000000" w:themeColor="text1"/>
          <w:sz w:val="22"/>
          <w:szCs w:val="22"/>
          <w:lang w:eastAsia="ar-SA"/>
        </w:rPr>
        <w:t>.  DBM Budget Circular (BC) No. 2008-3 dated June 20, 2008 was issued thereafter to provide rules, regulations and procedural guidelines on the establishment of Provident Funds in the Philippine Government authorized under EO No. 641.</w:t>
      </w:r>
    </w:p>
    <w:p>
      <w:pPr>
        <w:pStyle w:val="ListParagraph"/>
        <w:ind w:left="1440"/>
        <w:jc w:val="both"/>
        <w:rPr>
          <w:rFonts w:ascii="Arial" w:hAnsi="Arial" w:cs="Arial"/>
          <w:b/>
          <w:color w:val="000000" w:themeColor="text1"/>
          <w:sz w:val="22"/>
          <w:szCs w:val="22"/>
        </w:rPr>
      </w:pPr>
    </w:p>
    <w:p>
      <w:pPr>
        <w:pStyle w:val="ListParagraph"/>
        <w:numPr>
          <w:ilvl w:val="1"/>
          <w:numId w:val="22"/>
        </w:numPr>
        <w:ind w:left="1418" w:hanging="709"/>
        <w:jc w:val="both"/>
        <w:rPr>
          <w:rFonts w:ascii="Arial" w:hAnsi="Arial" w:cs="Arial"/>
          <w:b/>
          <w:color w:val="000000" w:themeColor="text1"/>
          <w:sz w:val="22"/>
          <w:szCs w:val="22"/>
        </w:rPr>
      </w:pPr>
      <w:r>
        <w:rPr>
          <w:rFonts w:ascii="Arial" w:hAnsi="Arial" w:cs="Arial"/>
          <w:color w:val="000000" w:themeColor="text1"/>
          <w:sz w:val="22"/>
          <w:szCs w:val="22"/>
          <w:lang w:val="en-PH" w:eastAsia="ar-SA"/>
        </w:rPr>
        <w:t>An Audit Observation Memorandum (AOM) was issued in CY 2013 pertaining to the CY 2012 Special Share of PCSO to the Provident Fund, calling the attention of Management on its non-adherence with the provisions of DBM BC No. 2008-3 as the subject Special Share was neither included as one of the Provident Fund sources enumerated under the said DBM BC nor did the purpose thereof was clearly indicated.  A Notice of Suspension (NS) was</w:t>
      </w:r>
      <w:r>
        <w:rPr>
          <w:rFonts w:ascii="Arial" w:hAnsi="Arial" w:cs="Arial"/>
          <w:i/>
          <w:iCs/>
          <w:color w:val="000000" w:themeColor="text1"/>
          <w:sz w:val="22"/>
          <w:szCs w:val="22"/>
          <w:lang w:val="en-PH" w:eastAsia="ar-SA"/>
        </w:rPr>
        <w:t xml:space="preserve"> </w:t>
      </w:r>
      <w:r>
        <w:rPr>
          <w:rFonts w:ascii="Arial" w:hAnsi="Arial" w:cs="Arial"/>
          <w:color w:val="000000" w:themeColor="text1"/>
          <w:sz w:val="22"/>
          <w:szCs w:val="22"/>
          <w:lang w:val="en-PH" w:eastAsia="ar-SA"/>
        </w:rPr>
        <w:t>issued thereafter requiring PCSO to submit the legal basis on the subject disbursements.</w:t>
      </w:r>
    </w:p>
    <w:p>
      <w:pPr>
        <w:pStyle w:val="ListParagraph"/>
        <w:rPr>
          <w:rFonts w:ascii="Arial" w:hAnsi="Arial" w:cs="Arial"/>
          <w:b/>
          <w:color w:val="000000" w:themeColor="text1"/>
          <w:sz w:val="22"/>
          <w:szCs w:val="22"/>
        </w:rPr>
      </w:pPr>
    </w:p>
    <w:p>
      <w:pPr>
        <w:pStyle w:val="ListParagraph"/>
        <w:numPr>
          <w:ilvl w:val="1"/>
          <w:numId w:val="22"/>
        </w:numPr>
        <w:ind w:left="1418" w:hanging="709"/>
        <w:jc w:val="both"/>
        <w:rPr>
          <w:rFonts w:ascii="Arial" w:hAnsi="Arial" w:cs="Arial"/>
          <w:b/>
          <w:color w:val="000000" w:themeColor="text1"/>
          <w:sz w:val="22"/>
          <w:szCs w:val="22"/>
        </w:rPr>
      </w:pPr>
      <w:r>
        <w:rPr>
          <w:rFonts w:ascii="Arial" w:hAnsi="Arial" w:cs="Arial"/>
          <w:color w:val="000000" w:themeColor="text1"/>
          <w:sz w:val="22"/>
          <w:szCs w:val="22"/>
          <w:lang w:val="en-PH" w:eastAsia="ar-SA"/>
        </w:rPr>
        <w:t xml:space="preserve">In response to the subject AOM and NS, Management explained that the PCSO was excluded from the coverage of the said DBM BC considering that the </w:t>
      </w:r>
      <w:r>
        <w:rPr>
          <w:rFonts w:ascii="Arial" w:hAnsi="Arial" w:cs="Arial"/>
          <w:iCs/>
          <w:color w:val="000000" w:themeColor="text1"/>
          <w:sz w:val="22"/>
          <w:szCs w:val="22"/>
          <w:lang w:val="en-PH" w:eastAsia="ar-SA"/>
        </w:rPr>
        <w:t xml:space="preserve">PCSO Provident Fund was established in CY 2005, which was </w:t>
      </w:r>
      <w:r>
        <w:rPr>
          <w:rFonts w:ascii="Arial" w:hAnsi="Arial" w:cs="Arial"/>
          <w:color w:val="000000" w:themeColor="text1"/>
          <w:sz w:val="22"/>
          <w:szCs w:val="22"/>
          <w:lang w:val="en-PH" w:eastAsia="ar-SA"/>
        </w:rPr>
        <w:t>prior</w:t>
      </w:r>
      <w:r>
        <w:rPr>
          <w:rFonts w:ascii="Arial" w:hAnsi="Arial" w:cs="Arial"/>
          <w:iCs/>
          <w:color w:val="000000" w:themeColor="text1"/>
          <w:sz w:val="22"/>
          <w:szCs w:val="22"/>
          <w:lang w:val="en-PH" w:eastAsia="ar-SA"/>
        </w:rPr>
        <w:t xml:space="preserve"> to the issuance of EO No. 641. T</w:t>
      </w:r>
      <w:r>
        <w:rPr>
          <w:rFonts w:ascii="Arial" w:hAnsi="Arial" w:cs="Arial"/>
          <w:color w:val="000000" w:themeColor="text1"/>
          <w:sz w:val="22"/>
          <w:szCs w:val="22"/>
          <w:lang w:val="en-PH" w:eastAsia="ar-SA"/>
        </w:rPr>
        <w:t>he post facto approval by the Office of the President dated May 19, 2011 of the various benefits/incentives (included in the PCSO SEU-Collective Negotiation Agreement) included the Provident Fund and PCSO’s share.</w:t>
      </w:r>
    </w:p>
    <w:p>
      <w:pPr>
        <w:pStyle w:val="ListParagraph"/>
        <w:rPr>
          <w:rFonts w:ascii="Arial" w:hAnsi="Arial" w:cs="Arial"/>
          <w:b/>
          <w:color w:val="000000" w:themeColor="text1"/>
          <w:sz w:val="22"/>
          <w:szCs w:val="22"/>
        </w:rPr>
      </w:pPr>
    </w:p>
    <w:p>
      <w:pPr>
        <w:pStyle w:val="ListParagraph"/>
        <w:numPr>
          <w:ilvl w:val="1"/>
          <w:numId w:val="22"/>
        </w:numPr>
        <w:ind w:left="1418" w:hanging="709"/>
        <w:jc w:val="both"/>
        <w:rPr>
          <w:rFonts w:ascii="Arial" w:hAnsi="Arial" w:cs="Arial"/>
          <w:b/>
          <w:color w:val="000000" w:themeColor="text1"/>
          <w:sz w:val="22"/>
          <w:szCs w:val="22"/>
        </w:rPr>
      </w:pPr>
      <w:r>
        <w:rPr>
          <w:rFonts w:ascii="Arial" w:hAnsi="Arial" w:cs="Arial"/>
          <w:sz w:val="22"/>
          <w:szCs w:val="22"/>
          <w:lang w:val="en-PH" w:eastAsia="ar-SA"/>
        </w:rPr>
        <w:t>In an appeal from the Notice of Disallowance (ND) filed by the PCSO before the Office of the Director of the Corporate Government Sector (CGS)-Cluster 6, COA, the following arguments were raised by Appellant PCSO:</w:t>
      </w:r>
    </w:p>
    <w:p>
      <w:pPr>
        <w:pStyle w:val="ListParagraph"/>
        <w:rPr>
          <w:rFonts w:ascii="Arial" w:hAnsi="Arial" w:cs="Arial"/>
          <w:b/>
          <w:color w:val="000000" w:themeColor="text1"/>
          <w:sz w:val="22"/>
          <w:szCs w:val="22"/>
        </w:rPr>
      </w:pPr>
    </w:p>
    <w:p>
      <w:pPr>
        <w:pStyle w:val="ListParagraph"/>
        <w:numPr>
          <w:ilvl w:val="0"/>
          <w:numId w:val="23"/>
        </w:numPr>
        <w:ind w:left="1985" w:hanging="567"/>
        <w:contextualSpacing/>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 xml:space="preserve">The disbursements of the Special Share correspond to the same benefits given by PCSO to its officials and employees; </w:t>
      </w:r>
    </w:p>
    <w:p>
      <w:pPr>
        <w:spacing w:after="0" w:line="240" w:lineRule="auto"/>
        <w:ind w:left="1985" w:hanging="567"/>
        <w:contextualSpacing/>
        <w:jc w:val="both"/>
        <w:rPr>
          <w:rFonts w:ascii="Arial" w:hAnsi="Arial" w:cs="Arial"/>
          <w:color w:val="000000" w:themeColor="text1"/>
          <w:lang w:eastAsia="ar-SA"/>
        </w:rPr>
      </w:pPr>
    </w:p>
    <w:p>
      <w:pPr>
        <w:pStyle w:val="ListParagraph"/>
        <w:numPr>
          <w:ilvl w:val="0"/>
          <w:numId w:val="23"/>
        </w:numPr>
        <w:ind w:left="1985" w:hanging="567"/>
        <w:contextualSpacing/>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 xml:space="preserve">The benefits were approved by the former Presidents; </w:t>
      </w:r>
    </w:p>
    <w:p>
      <w:pPr>
        <w:spacing w:after="0" w:line="240" w:lineRule="auto"/>
        <w:ind w:left="1985" w:hanging="567"/>
        <w:contextualSpacing/>
        <w:jc w:val="both"/>
        <w:rPr>
          <w:rFonts w:ascii="Arial" w:hAnsi="Arial" w:cs="Arial"/>
          <w:color w:val="000000" w:themeColor="text1"/>
          <w:lang w:eastAsia="ar-SA"/>
        </w:rPr>
      </w:pPr>
    </w:p>
    <w:p>
      <w:pPr>
        <w:pStyle w:val="ListParagraph"/>
        <w:numPr>
          <w:ilvl w:val="0"/>
          <w:numId w:val="23"/>
        </w:numPr>
        <w:ind w:left="1985" w:hanging="567"/>
        <w:contextualSpacing/>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The allowances were granted by the BOD as authorized by RA No. 1169 (PCSO Charter);</w:t>
      </w:r>
    </w:p>
    <w:p>
      <w:pPr>
        <w:spacing w:after="0" w:line="240" w:lineRule="auto"/>
        <w:ind w:left="1985" w:hanging="567"/>
        <w:contextualSpacing/>
        <w:jc w:val="both"/>
        <w:rPr>
          <w:rFonts w:ascii="Arial" w:hAnsi="Arial" w:cs="Arial"/>
          <w:color w:val="000000" w:themeColor="text1"/>
          <w:lang w:eastAsia="ar-SA"/>
        </w:rPr>
      </w:pPr>
    </w:p>
    <w:p>
      <w:pPr>
        <w:pStyle w:val="ListParagraph"/>
        <w:numPr>
          <w:ilvl w:val="0"/>
          <w:numId w:val="23"/>
        </w:numPr>
        <w:ind w:left="1985" w:hanging="567"/>
        <w:contextualSpacing/>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The benefits were in accordance and consistent with the EO No. 7 and the GCG Law; and</w:t>
      </w:r>
    </w:p>
    <w:p>
      <w:pPr>
        <w:spacing w:after="0" w:line="240" w:lineRule="auto"/>
        <w:ind w:left="1985" w:hanging="567"/>
        <w:contextualSpacing/>
        <w:jc w:val="both"/>
        <w:rPr>
          <w:rFonts w:ascii="Arial" w:hAnsi="Arial" w:cs="Arial"/>
          <w:color w:val="000000" w:themeColor="text1"/>
          <w:lang w:eastAsia="ar-SA"/>
        </w:rPr>
      </w:pPr>
    </w:p>
    <w:p>
      <w:pPr>
        <w:pStyle w:val="ListParagraph"/>
        <w:numPr>
          <w:ilvl w:val="0"/>
          <w:numId w:val="23"/>
        </w:numPr>
        <w:ind w:left="1985" w:hanging="567"/>
        <w:contextualSpacing/>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 xml:space="preserve">The Special Shares were released to the Provident Fund as equity enhancement of officials and employees pursuant to Section 3, paragraph F of EO No. 641 dated July 25, 2007. </w:t>
      </w:r>
    </w:p>
    <w:p>
      <w:pPr>
        <w:pStyle w:val="ListParagraph"/>
        <w:ind w:left="993"/>
        <w:contextualSpacing/>
        <w:jc w:val="both"/>
        <w:rPr>
          <w:rFonts w:ascii="Arial" w:hAnsi="Arial" w:cs="Arial"/>
          <w:sz w:val="22"/>
          <w:szCs w:val="22"/>
          <w:lang w:val="en-PH" w:eastAsia="ar-SA"/>
        </w:rPr>
      </w:pPr>
    </w:p>
    <w:p>
      <w:pPr>
        <w:pStyle w:val="ListParagraph"/>
        <w:numPr>
          <w:ilvl w:val="1"/>
          <w:numId w:val="22"/>
        </w:numPr>
        <w:ind w:left="1418" w:hanging="709"/>
        <w:jc w:val="both"/>
        <w:rPr>
          <w:rFonts w:ascii="Arial" w:hAnsi="Arial" w:cs="Arial"/>
          <w:sz w:val="22"/>
          <w:szCs w:val="22"/>
          <w:lang w:val="en-PH" w:eastAsia="ar-SA"/>
        </w:rPr>
      </w:pPr>
      <w:r>
        <w:rPr>
          <w:rFonts w:ascii="Arial" w:hAnsi="Arial" w:cs="Arial"/>
          <w:color w:val="000000" w:themeColor="text1"/>
          <w:sz w:val="22"/>
          <w:szCs w:val="22"/>
          <w:lang w:val="en-PH" w:eastAsia="ar-SA"/>
        </w:rPr>
        <w:t xml:space="preserve">Upon evaluation of Appellant’s justifications and Appellees’ Answer, the Director of the CGS Cluster 6 affirmed the subject ND.  It was emphasized therein that the approval by the PCSO BOD was inadequate since their statutory authority to fix the salaries and determine the reasonable allowances, bonuses and other incentives of PCSO’s officers and employees, as provided under RA No. 1169, is not absolute as it is subject to pertinent civil service and compensation laws.  </w:t>
      </w:r>
    </w:p>
    <w:p>
      <w:pPr>
        <w:pStyle w:val="ListParagraph"/>
        <w:ind w:left="1418"/>
        <w:jc w:val="both"/>
        <w:rPr>
          <w:rFonts w:ascii="Arial" w:hAnsi="Arial" w:cs="Arial"/>
          <w:sz w:val="22"/>
          <w:szCs w:val="22"/>
          <w:lang w:val="en-PH" w:eastAsia="ar-SA"/>
        </w:rPr>
      </w:pPr>
    </w:p>
    <w:p>
      <w:pPr>
        <w:pStyle w:val="ListParagraph"/>
        <w:numPr>
          <w:ilvl w:val="1"/>
          <w:numId w:val="22"/>
        </w:numPr>
        <w:ind w:left="1418" w:hanging="709"/>
        <w:jc w:val="both"/>
        <w:rPr>
          <w:rFonts w:ascii="Arial" w:hAnsi="Arial" w:cs="Arial"/>
          <w:sz w:val="22"/>
          <w:szCs w:val="22"/>
          <w:lang w:val="en-PH" w:eastAsia="ar-SA"/>
        </w:rPr>
      </w:pPr>
      <w:r>
        <w:rPr>
          <w:rFonts w:ascii="Arial" w:hAnsi="Arial" w:cs="Arial"/>
          <w:color w:val="000000" w:themeColor="text1"/>
          <w:sz w:val="22"/>
          <w:szCs w:val="22"/>
          <w:lang w:val="en-PH" w:eastAsia="ar-SA"/>
        </w:rPr>
        <w:t>In addition, the disbursements of benefits and allowances in the guise of special share to PCSO Provident Fund have not only exceeded the limitations and categories set by existing compensation laws, such as              EO No. 7, s. 2010 and Joint Resolution No. 4, s. 2009, but also violate the purpose of the Provident Fund under EO No. 641, as implemented by DBM BC No. 2008-3. Hence, the  appeal from ND was denied as there was nothing in the PCSO’s arguments that would support the legal basis of the disbursement of Special Share to the PCSO Provident Fund and its conformity with existing laws, rules and regulati</w:t>
      </w:r>
      <w:r>
        <w:rPr>
          <w:rFonts w:ascii="Arial" w:hAnsi="Arial" w:cs="Arial"/>
          <w:sz w:val="22"/>
          <w:szCs w:val="22"/>
          <w:lang w:val="en-PH" w:eastAsia="ar-SA"/>
        </w:rPr>
        <w:t>ons.</w:t>
      </w:r>
    </w:p>
    <w:p>
      <w:pPr>
        <w:pStyle w:val="ListParagraph"/>
        <w:ind w:left="1440"/>
        <w:jc w:val="both"/>
        <w:rPr>
          <w:rFonts w:ascii="Arial" w:hAnsi="Arial" w:cs="Arial"/>
          <w:sz w:val="22"/>
          <w:szCs w:val="22"/>
          <w:lang w:val="en-PH" w:eastAsia="ar-SA"/>
        </w:rPr>
      </w:pPr>
    </w:p>
    <w:p>
      <w:pPr>
        <w:pStyle w:val="ListParagraph"/>
        <w:numPr>
          <w:ilvl w:val="1"/>
          <w:numId w:val="22"/>
        </w:numPr>
        <w:ind w:left="1418" w:hanging="709"/>
        <w:jc w:val="both"/>
        <w:rPr>
          <w:rFonts w:ascii="Arial" w:hAnsi="Arial" w:cs="Arial"/>
          <w:sz w:val="22"/>
          <w:szCs w:val="22"/>
          <w:lang w:val="en-PH" w:eastAsia="ar-SA"/>
        </w:rPr>
      </w:pPr>
      <w:r>
        <w:rPr>
          <w:rFonts w:ascii="Arial" w:hAnsi="Arial" w:cs="Arial"/>
          <w:sz w:val="22"/>
          <w:szCs w:val="22"/>
          <w:lang w:val="en-PH" w:eastAsia="ar-SA"/>
        </w:rPr>
        <w:t>A Petition for Review from the above-stated decision was filed by the PCSO with the COA Commission Proper, which has yet to be decided upon to date.</w:t>
      </w:r>
    </w:p>
    <w:p>
      <w:pPr>
        <w:pStyle w:val="ListParagraph"/>
        <w:ind w:left="1440"/>
        <w:jc w:val="both"/>
        <w:rPr>
          <w:rFonts w:ascii="Arial" w:hAnsi="Arial" w:cs="Arial"/>
          <w:sz w:val="22"/>
          <w:szCs w:val="22"/>
          <w:lang w:val="en-PH" w:eastAsia="ar-SA"/>
        </w:rPr>
      </w:pPr>
    </w:p>
    <w:p>
      <w:pPr>
        <w:pStyle w:val="ListParagraph"/>
        <w:numPr>
          <w:ilvl w:val="1"/>
          <w:numId w:val="22"/>
        </w:numPr>
        <w:ind w:left="1418" w:hanging="709"/>
        <w:jc w:val="both"/>
        <w:rPr>
          <w:rFonts w:ascii="Arial" w:hAnsi="Arial" w:cs="Arial"/>
          <w:sz w:val="22"/>
          <w:szCs w:val="22"/>
          <w:lang w:val="en-PH" w:eastAsia="ar-SA"/>
        </w:rPr>
      </w:pPr>
      <w:r>
        <w:rPr>
          <w:rFonts w:ascii="Arial" w:hAnsi="Arial" w:cs="Arial"/>
          <w:sz w:val="22"/>
          <w:szCs w:val="22"/>
          <w:lang w:val="en-PH" w:eastAsia="ar-SA"/>
        </w:rPr>
        <w:t>It is noteworthy to mention that the proposed budget for the Special Share to the PCSO Provident Fund from CYs 2012 to 2020 has been consistently disapproved by the DBM. In the PCSO approved Corporate Operating Budget (COB) during the said period, the DBM has noted that the subject budget was without legal basis and indicated in its remark that the post facto approval dated May 19, 2011 given by the Office of the President did not constitute continuing authority pursuant to GCG Memorandum for the President dated June 18, 2012.</w:t>
      </w:r>
    </w:p>
    <w:p>
      <w:pPr>
        <w:pStyle w:val="ListParagraph"/>
        <w:ind w:left="1440"/>
        <w:jc w:val="both"/>
        <w:rPr>
          <w:rFonts w:ascii="Arial" w:hAnsi="Arial" w:cs="Arial"/>
          <w:sz w:val="22"/>
          <w:szCs w:val="22"/>
          <w:lang w:val="en-PH" w:eastAsia="ar-SA"/>
        </w:rPr>
      </w:pPr>
    </w:p>
    <w:p>
      <w:pPr>
        <w:pStyle w:val="ListParagraph"/>
        <w:numPr>
          <w:ilvl w:val="1"/>
          <w:numId w:val="22"/>
        </w:numPr>
        <w:ind w:left="1418" w:hanging="709"/>
        <w:jc w:val="both"/>
        <w:rPr>
          <w:rFonts w:ascii="Arial" w:hAnsi="Arial" w:cs="Arial"/>
          <w:sz w:val="22"/>
          <w:szCs w:val="22"/>
          <w:lang w:val="en-PH" w:eastAsia="ar-SA"/>
        </w:rPr>
      </w:pPr>
      <w:r>
        <w:rPr>
          <w:rFonts w:ascii="Arial" w:hAnsi="Arial" w:cs="Arial"/>
          <w:sz w:val="22"/>
          <w:szCs w:val="22"/>
          <w:lang w:val="en-PH" w:eastAsia="ar-SA"/>
        </w:rPr>
        <w:t>Despite the issuance of the ND as well as the DBM’s disapproval of the proposed budget for the Special Share to the PCSO Provident Fund, the Audit Team noted that the PCSO continued to incur disbursements therefor, equivalent to 20 per cent of the employees’ salaries and for           CY 2020, the amount disbursed/paid to the Provident Fund amounted to P95.107 million.</w:t>
      </w:r>
    </w:p>
    <w:p>
      <w:pPr>
        <w:spacing w:after="0" w:line="240" w:lineRule="auto"/>
        <w:jc w:val="both"/>
        <w:rPr>
          <w:rFonts w:ascii="Arial" w:hAnsi="Arial" w:cs="Arial"/>
          <w:lang w:eastAsia="ar-SA"/>
        </w:rPr>
      </w:pPr>
    </w:p>
    <w:p>
      <w:pPr>
        <w:pStyle w:val="ListParagraph"/>
        <w:numPr>
          <w:ilvl w:val="1"/>
          <w:numId w:val="22"/>
        </w:numPr>
        <w:ind w:left="1418" w:hanging="709"/>
        <w:jc w:val="both"/>
        <w:rPr>
          <w:rFonts w:ascii="Arial" w:hAnsi="Arial" w:cs="Arial"/>
          <w:sz w:val="22"/>
          <w:szCs w:val="22"/>
          <w:lang w:val="en-PH" w:eastAsia="ar-SA"/>
        </w:rPr>
      </w:pPr>
      <w:r>
        <w:rPr>
          <w:rFonts w:ascii="Arial" w:hAnsi="Arial" w:cs="Arial"/>
          <w:sz w:val="22"/>
          <w:szCs w:val="22"/>
          <w:lang w:val="en-PH" w:eastAsia="ar-SA"/>
        </w:rPr>
        <w:t>Considering that the regularity of the disbursements for Special Share to the PCSO Provident Fund has not yet been resolved as well as the consistent disapproval by the DBM of the budget therefor, the Audit Team opines that same should be discontinued for lack of legal basis.</w:t>
      </w:r>
    </w:p>
    <w:p>
      <w:pPr>
        <w:pStyle w:val="ListParagraph"/>
        <w:rPr>
          <w:rFonts w:ascii="Arial" w:hAnsi="Arial" w:cs="Arial"/>
          <w:sz w:val="22"/>
          <w:szCs w:val="22"/>
          <w:lang w:val="en-PH" w:eastAsia="ar-SA"/>
        </w:rPr>
      </w:pPr>
    </w:p>
    <w:p>
      <w:pPr>
        <w:pStyle w:val="ListParagraph"/>
        <w:numPr>
          <w:ilvl w:val="1"/>
          <w:numId w:val="22"/>
        </w:numPr>
        <w:ind w:left="1418" w:hanging="709"/>
        <w:jc w:val="both"/>
        <w:rPr>
          <w:rFonts w:ascii="Arial" w:hAnsi="Arial" w:cs="Arial"/>
          <w:sz w:val="22"/>
          <w:szCs w:val="22"/>
          <w:lang w:val="en-PH" w:eastAsia="ar-SA"/>
        </w:rPr>
      </w:pPr>
      <w:r>
        <w:rPr>
          <w:rFonts w:ascii="Arial" w:hAnsi="Arial" w:cs="Arial"/>
          <w:b/>
          <w:sz w:val="22"/>
          <w:szCs w:val="22"/>
          <w:lang w:val="en-PH" w:eastAsia="ar-SA"/>
        </w:rPr>
        <w:t>We recommended that Management discontinue the payment/disbursement of Special Share to the PCSO Provident Fund and cause the immediate refund of the P95.107 million paid in              CY 2020, to avoid accumulation of disallowance in audit.</w:t>
      </w:r>
    </w:p>
    <w:p>
      <w:pPr>
        <w:pStyle w:val="ListParagraph"/>
        <w:rPr>
          <w:rFonts w:ascii="Arial" w:hAnsi="Arial" w:cs="Arial"/>
          <w:sz w:val="22"/>
          <w:szCs w:val="22"/>
          <w:lang w:val="en-PH" w:eastAsia="ar-SA"/>
        </w:rPr>
      </w:pPr>
    </w:p>
    <w:p>
      <w:pPr>
        <w:pStyle w:val="ListParagraph"/>
        <w:rPr>
          <w:rFonts w:ascii="Arial" w:hAnsi="Arial" w:cs="Arial"/>
          <w:sz w:val="22"/>
          <w:szCs w:val="22"/>
          <w:lang w:val="en-PH" w:eastAsia="ar-SA"/>
        </w:rPr>
      </w:pPr>
    </w:p>
    <w:p>
      <w:pPr>
        <w:pStyle w:val="ListParagraph"/>
        <w:rPr>
          <w:rFonts w:ascii="Arial" w:hAnsi="Arial" w:cs="Arial"/>
          <w:sz w:val="22"/>
          <w:szCs w:val="22"/>
          <w:lang w:val="en-PH" w:eastAsia="ar-SA"/>
        </w:rPr>
      </w:pPr>
    </w:p>
    <w:p>
      <w:pPr>
        <w:pStyle w:val="ListParagraph"/>
        <w:numPr>
          <w:ilvl w:val="1"/>
          <w:numId w:val="22"/>
        </w:numPr>
        <w:ind w:left="1418" w:hanging="709"/>
        <w:jc w:val="both"/>
        <w:rPr>
          <w:rFonts w:ascii="Arial" w:hAnsi="Arial" w:cs="Arial"/>
          <w:sz w:val="22"/>
          <w:szCs w:val="22"/>
          <w:lang w:val="en-PH" w:eastAsia="ar-SA"/>
        </w:rPr>
      </w:pPr>
      <w:r>
        <w:rPr>
          <w:rFonts w:ascii="Arial" w:hAnsi="Arial" w:cs="Arial"/>
          <w:sz w:val="22"/>
          <w:szCs w:val="22"/>
          <w:lang w:val="en-PH"/>
        </w:rPr>
        <w:lastRenderedPageBreak/>
        <w:t xml:space="preserve">Management informed that the ABD was directed through Memorandum No. 05-OGM-197 dated 31 May 2021 to discontinue the payment of PCSO’s Special Share to the Provident Fund and for the immediate refund of the P95.107 million paid to the Provident Fund for CY 2020.  </w:t>
      </w:r>
    </w:p>
    <w:p>
      <w:pPr>
        <w:pStyle w:val="ListParagraph"/>
        <w:ind w:left="1418"/>
        <w:jc w:val="both"/>
        <w:rPr>
          <w:rFonts w:ascii="Arial" w:hAnsi="Arial" w:cs="Arial"/>
          <w:sz w:val="22"/>
          <w:szCs w:val="22"/>
          <w:lang w:val="en-PH" w:eastAsia="ar-SA"/>
        </w:rPr>
      </w:pPr>
    </w:p>
    <w:p>
      <w:pPr>
        <w:pStyle w:val="ListParagraph"/>
        <w:numPr>
          <w:ilvl w:val="1"/>
          <w:numId w:val="22"/>
        </w:numPr>
        <w:ind w:left="1418" w:hanging="709"/>
        <w:jc w:val="both"/>
        <w:rPr>
          <w:rFonts w:ascii="Arial" w:hAnsi="Arial" w:cs="Arial"/>
          <w:sz w:val="22"/>
          <w:szCs w:val="22"/>
          <w:lang w:val="en-PH" w:eastAsia="ar-SA"/>
        </w:rPr>
      </w:pPr>
      <w:r>
        <w:rPr>
          <w:rFonts w:ascii="Arial" w:hAnsi="Arial" w:cs="Arial"/>
          <w:sz w:val="22"/>
          <w:szCs w:val="22"/>
        </w:rPr>
        <w:t>As a rejoinder, the Audit Team acknowledged Management’s commitment to implement the recommendation, which will be monitored in the                   CY 2021 audit.</w:t>
      </w:r>
    </w:p>
    <w:p>
      <w:pPr>
        <w:pStyle w:val="ListParagraph"/>
        <w:ind w:left="1440"/>
        <w:jc w:val="both"/>
        <w:rPr>
          <w:rFonts w:ascii="Arial" w:hAnsi="Arial" w:cs="Arial"/>
          <w:b/>
          <w:color w:val="000000" w:themeColor="text1"/>
          <w:sz w:val="22"/>
          <w:szCs w:val="22"/>
        </w:rPr>
      </w:pPr>
    </w:p>
    <w:p>
      <w:pPr>
        <w:spacing w:after="0" w:line="240" w:lineRule="auto"/>
        <w:jc w:val="both"/>
        <w:rPr>
          <w:rFonts w:ascii="Arial" w:hAnsi="Arial" w:cs="Arial"/>
          <w:color w:val="000000" w:themeColor="text1"/>
        </w:rPr>
      </w:pPr>
    </w:p>
    <w:p>
      <w:pPr>
        <w:contextualSpacing/>
        <w:jc w:val="both"/>
        <w:rPr>
          <w:rFonts w:ascii="Arial" w:hAnsi="Arial" w:cs="Arial"/>
          <w:b/>
          <w:u w:val="single"/>
        </w:rPr>
      </w:pPr>
      <w:r>
        <w:rPr>
          <w:rFonts w:ascii="Arial" w:hAnsi="Arial" w:cs="Arial"/>
          <w:b/>
        </w:rPr>
        <w:t>GENDER AND DEVELOPMENT (GAD</w:t>
      </w:r>
      <w:r>
        <w:rPr>
          <w:rFonts w:ascii="Arial" w:hAnsi="Arial" w:cs="Arial"/>
          <w:b/>
          <w:u w:val="single"/>
        </w:rPr>
        <w:t>)</w:t>
      </w:r>
    </w:p>
    <w:p>
      <w:pPr>
        <w:pStyle w:val="ListParagraph"/>
        <w:ind w:left="1418"/>
        <w:jc w:val="both"/>
        <w:rPr>
          <w:rFonts w:ascii="Arial" w:hAnsi="Arial" w:cs="Arial"/>
          <w:sz w:val="22"/>
          <w:szCs w:val="22"/>
        </w:rPr>
      </w:pPr>
    </w:p>
    <w:p>
      <w:pPr>
        <w:pStyle w:val="ListParagraph"/>
        <w:numPr>
          <w:ilvl w:val="0"/>
          <w:numId w:val="6"/>
        </w:numPr>
        <w:ind w:left="720" w:hanging="720"/>
        <w:jc w:val="both"/>
        <w:rPr>
          <w:rFonts w:ascii="Arial" w:hAnsi="Arial" w:cs="Arial"/>
          <w:b/>
          <w:iCs/>
          <w:color w:val="000000" w:themeColor="text1"/>
          <w:sz w:val="22"/>
          <w:szCs w:val="22"/>
        </w:rPr>
      </w:pPr>
      <w:r>
        <w:rPr>
          <w:rFonts w:ascii="Arial" w:hAnsi="Arial" w:cs="Arial"/>
          <w:b/>
          <w:color w:val="000000" w:themeColor="text1"/>
          <w:sz w:val="22"/>
          <w:szCs w:val="22"/>
        </w:rPr>
        <w:t>The PCSO was not able to submit its annual GAD Plan and Budget (GPB) and the GAD Accomplishment Report (GAD AR) for CY 2020 to the Philippine Commission on Women (PCW); hence, the duly endorsed GPB and GAD AR were not submitted to the Audit Team, contrary to PCW Memorandum Circular (MC) Nos. 2019-02 and 2021-01 dated August 1, 2019 and January 20, 2021, respectively.</w:t>
      </w:r>
    </w:p>
    <w:p>
      <w:pPr>
        <w:pStyle w:val="ListParagraph"/>
        <w:jc w:val="both"/>
        <w:rPr>
          <w:rFonts w:ascii="Arial" w:hAnsi="Arial" w:cs="Arial"/>
          <w:iCs/>
          <w:sz w:val="22"/>
          <w:szCs w:val="22"/>
        </w:rPr>
      </w:pPr>
    </w:p>
    <w:p>
      <w:pPr>
        <w:pStyle w:val="ListParagraph"/>
        <w:numPr>
          <w:ilvl w:val="1"/>
          <w:numId w:val="24"/>
        </w:numPr>
        <w:ind w:left="1418" w:hanging="709"/>
        <w:jc w:val="both"/>
        <w:rPr>
          <w:rFonts w:ascii="Arial" w:hAnsi="Arial" w:cs="Arial"/>
          <w:iCs/>
          <w:sz w:val="22"/>
          <w:szCs w:val="22"/>
        </w:rPr>
      </w:pPr>
      <w:r>
        <w:rPr>
          <w:rFonts w:ascii="Arial" w:hAnsi="Arial" w:cs="Arial"/>
          <w:sz w:val="22"/>
          <w:szCs w:val="22"/>
        </w:rPr>
        <w:t>Section 1.2.2.1 of the PCW MC No. 2019-02 dated August 1, 2019 provides</w:t>
      </w:r>
      <w:r>
        <w:rPr>
          <w:rFonts w:ascii="Arial" w:hAnsi="Arial" w:cs="Arial"/>
          <w:iCs/>
          <w:sz w:val="22"/>
          <w:szCs w:val="22"/>
        </w:rPr>
        <w:t>:</w:t>
      </w:r>
    </w:p>
    <w:p>
      <w:pPr>
        <w:pStyle w:val="ListParagraph"/>
        <w:ind w:left="1440"/>
        <w:jc w:val="both"/>
        <w:rPr>
          <w:rFonts w:ascii="Arial" w:hAnsi="Arial" w:cs="Arial"/>
          <w:iCs/>
          <w:sz w:val="22"/>
          <w:szCs w:val="22"/>
        </w:rPr>
      </w:pPr>
    </w:p>
    <w:p>
      <w:pPr>
        <w:pStyle w:val="ListParagraph"/>
        <w:ind w:left="1985" w:right="675"/>
        <w:jc w:val="both"/>
        <w:rPr>
          <w:rFonts w:ascii="Arial" w:hAnsi="Arial" w:cs="Arial"/>
          <w:i/>
          <w:iCs/>
          <w:color w:val="000000" w:themeColor="text1"/>
          <w:sz w:val="22"/>
          <w:szCs w:val="22"/>
        </w:rPr>
      </w:pPr>
      <w:r>
        <w:rPr>
          <w:rFonts w:ascii="Arial" w:hAnsi="Arial" w:cs="Arial"/>
          <w:i/>
          <w:color w:val="000000" w:themeColor="text1"/>
          <w:sz w:val="22"/>
          <w:szCs w:val="22"/>
        </w:rPr>
        <w:t>All line departments, constitutional bodies, judicial and legislative bodies, attached agencies/bureaus, other executive offices (OEOs), and government-owned and/or –controlled corporations (GOCCs) shall prepare and submit their agency-consolidated GPB directly to PCW, for review and endorsement.</w:t>
      </w:r>
    </w:p>
    <w:p>
      <w:pPr>
        <w:pStyle w:val="ListParagraph"/>
        <w:ind w:left="1440"/>
        <w:jc w:val="both"/>
        <w:rPr>
          <w:rFonts w:ascii="Arial" w:hAnsi="Arial" w:cs="Arial"/>
          <w:iCs/>
          <w:sz w:val="22"/>
          <w:szCs w:val="22"/>
        </w:rPr>
      </w:pPr>
    </w:p>
    <w:p>
      <w:pPr>
        <w:pStyle w:val="ListParagraph"/>
        <w:numPr>
          <w:ilvl w:val="1"/>
          <w:numId w:val="24"/>
        </w:numPr>
        <w:ind w:left="1418" w:hanging="709"/>
        <w:jc w:val="both"/>
        <w:rPr>
          <w:rFonts w:ascii="Arial" w:hAnsi="Arial" w:cs="Arial"/>
          <w:iCs/>
          <w:sz w:val="22"/>
          <w:szCs w:val="22"/>
        </w:rPr>
      </w:pPr>
      <w:r>
        <w:rPr>
          <w:rFonts w:ascii="Arial" w:hAnsi="Arial" w:cs="Arial"/>
          <w:sz w:val="22"/>
          <w:szCs w:val="22"/>
        </w:rPr>
        <w:t>Section 4 of the same MC provides that the deadline for the encoding and submission of the Fiscal Year (FY) 2020 GPB through the Gender Mainstreaming Monitoring System (GMMS) was on September 30, 2019 and agencies were allowed to resubmit their GPBs if there are revisions to be made for the months of August to November 2019</w:t>
      </w:r>
      <w:r>
        <w:rPr>
          <w:rFonts w:ascii="Arial" w:hAnsi="Arial" w:cs="Arial"/>
          <w:sz w:val="22"/>
          <w:szCs w:val="22"/>
          <w:lang w:eastAsia="ar-SA"/>
        </w:rPr>
        <w:t>.</w:t>
      </w:r>
    </w:p>
    <w:p>
      <w:pPr>
        <w:pStyle w:val="ListParagraph"/>
        <w:ind w:left="1440"/>
        <w:jc w:val="both"/>
        <w:rPr>
          <w:rFonts w:ascii="Arial" w:hAnsi="Arial" w:cs="Arial"/>
          <w:iCs/>
          <w:sz w:val="22"/>
          <w:szCs w:val="22"/>
        </w:rPr>
      </w:pPr>
    </w:p>
    <w:p>
      <w:pPr>
        <w:pStyle w:val="ListParagraph"/>
        <w:numPr>
          <w:ilvl w:val="1"/>
          <w:numId w:val="24"/>
        </w:numPr>
        <w:ind w:left="1418" w:hanging="709"/>
        <w:jc w:val="both"/>
        <w:rPr>
          <w:rFonts w:ascii="Arial" w:hAnsi="Arial" w:cs="Arial"/>
          <w:sz w:val="22"/>
          <w:szCs w:val="22"/>
          <w:lang w:eastAsia="ar-SA"/>
        </w:rPr>
      </w:pPr>
      <w:r>
        <w:rPr>
          <w:rFonts w:ascii="Arial" w:hAnsi="Arial" w:cs="Arial"/>
          <w:sz w:val="22"/>
          <w:szCs w:val="22"/>
        </w:rPr>
        <w:t>Moreover, Section 1.2.4.2 of the said MC requires that the authenticated copy of the PCW-endorsed GPB, signed by the head of the agency, shall be submitted to PCW and their respective COA Audit Team within five (5) working days from endorsement</w:t>
      </w:r>
      <w:r>
        <w:rPr>
          <w:rFonts w:ascii="Arial" w:hAnsi="Arial" w:cs="Arial"/>
          <w:sz w:val="22"/>
          <w:szCs w:val="22"/>
          <w:lang w:eastAsia="ar-SA"/>
        </w:rPr>
        <w:t>.</w:t>
      </w:r>
    </w:p>
    <w:p>
      <w:pPr>
        <w:pStyle w:val="ListParagraph"/>
        <w:rPr>
          <w:rFonts w:ascii="Arial" w:hAnsi="Arial" w:cs="Arial"/>
          <w:sz w:val="22"/>
          <w:szCs w:val="22"/>
          <w:lang w:eastAsia="ar-SA"/>
        </w:rPr>
      </w:pPr>
    </w:p>
    <w:p>
      <w:pPr>
        <w:pStyle w:val="ListParagraph"/>
        <w:numPr>
          <w:ilvl w:val="1"/>
          <w:numId w:val="24"/>
        </w:numPr>
        <w:ind w:left="1418" w:hanging="709"/>
        <w:jc w:val="both"/>
        <w:rPr>
          <w:rFonts w:ascii="Arial" w:hAnsi="Arial" w:cs="Arial"/>
          <w:sz w:val="22"/>
          <w:szCs w:val="22"/>
          <w:lang w:eastAsia="ar-SA"/>
        </w:rPr>
      </w:pPr>
      <w:r>
        <w:rPr>
          <w:rFonts w:ascii="Arial" w:hAnsi="Arial" w:cs="Arial"/>
          <w:sz w:val="22"/>
          <w:szCs w:val="22"/>
        </w:rPr>
        <w:t>On March 2, 2021, the Audit Team issued a Memorandum requesting for the submission of the various documents in relation with the audit of the       CY 2020 accounts and transactions of the PCSO, including the CY 2020 endorsed GPB and GAD AR. However, the documents submitted relative to GAD did not pertain to the GPB, but just a summary of disbursements that were attributed to GAD, which was not sufficient basis to assess  the gender-responsiveness of the programs, projects and activities (PPAs) implemented by the Agency.</w:t>
      </w:r>
    </w:p>
    <w:p>
      <w:pPr>
        <w:pStyle w:val="ListParagraph"/>
        <w:rPr>
          <w:rFonts w:ascii="Arial" w:hAnsi="Arial" w:cs="Arial"/>
          <w:sz w:val="22"/>
          <w:szCs w:val="22"/>
          <w:lang w:eastAsia="ar-SA"/>
        </w:rPr>
      </w:pPr>
    </w:p>
    <w:p>
      <w:pPr>
        <w:pStyle w:val="ListParagraph"/>
        <w:rPr>
          <w:rFonts w:ascii="Arial" w:hAnsi="Arial" w:cs="Arial"/>
          <w:sz w:val="22"/>
          <w:szCs w:val="22"/>
          <w:lang w:eastAsia="ar-SA"/>
        </w:rPr>
      </w:pPr>
    </w:p>
    <w:p>
      <w:pPr>
        <w:pStyle w:val="ListParagraph"/>
        <w:numPr>
          <w:ilvl w:val="1"/>
          <w:numId w:val="24"/>
        </w:numPr>
        <w:ind w:left="1418" w:hanging="709"/>
        <w:jc w:val="both"/>
        <w:rPr>
          <w:rFonts w:ascii="Arial" w:hAnsi="Arial" w:cs="Arial"/>
          <w:sz w:val="22"/>
          <w:szCs w:val="22"/>
          <w:lang w:eastAsia="ar-SA"/>
        </w:rPr>
      </w:pPr>
      <w:r>
        <w:rPr>
          <w:rFonts w:ascii="Arial" w:hAnsi="Arial" w:cs="Arial"/>
          <w:sz w:val="22"/>
          <w:szCs w:val="22"/>
        </w:rPr>
        <w:lastRenderedPageBreak/>
        <w:t>Meanwhile, the PCW MC No. 2021-01 dated January 20, 2021 provides that the deadline of encoding and submission to the PCW of the FY 2020 GAD AR of the GOCCs through GMMS was on March 19, 2021.  Moreover, Section 7 of the same MC states that the concerned agencies shall print the GMMS-authenticated GAD AR for signature of their agency head and submit signed copies to PCW and their respective Audit Team.</w:t>
      </w:r>
    </w:p>
    <w:p>
      <w:pPr>
        <w:pStyle w:val="ListParagraph"/>
        <w:rPr>
          <w:rFonts w:ascii="Arial" w:hAnsi="Arial" w:cs="Arial"/>
          <w:sz w:val="22"/>
          <w:szCs w:val="22"/>
          <w:lang w:eastAsia="ar-SA"/>
        </w:rPr>
      </w:pPr>
    </w:p>
    <w:p>
      <w:pPr>
        <w:pStyle w:val="ListParagraph"/>
        <w:numPr>
          <w:ilvl w:val="1"/>
          <w:numId w:val="24"/>
        </w:numPr>
        <w:ind w:left="1418" w:hanging="709"/>
        <w:jc w:val="both"/>
        <w:rPr>
          <w:rFonts w:ascii="Arial" w:hAnsi="Arial" w:cs="Arial"/>
          <w:sz w:val="22"/>
          <w:szCs w:val="22"/>
          <w:lang w:eastAsia="ar-SA"/>
        </w:rPr>
      </w:pPr>
      <w:r>
        <w:rPr>
          <w:rFonts w:ascii="Arial" w:hAnsi="Arial" w:cs="Arial"/>
          <w:sz w:val="22"/>
          <w:szCs w:val="22"/>
        </w:rPr>
        <w:t>Verification with the PCW revealed that PCSO did not comply with the preparation and submission of the GPB and GAD AR for CY 2020, as required under MC Nos. 2019-02 and 2021-01. Due to the non-submission of the copy of the GPB and GAD AR, the Audit Team was not able to determine whether the allotted funds for GAD were actually used for gender-related PPAs within the context of the Agency’s mandate.</w:t>
      </w:r>
    </w:p>
    <w:p>
      <w:pPr>
        <w:pStyle w:val="ListParagraph"/>
        <w:ind w:left="1440"/>
        <w:jc w:val="both"/>
        <w:rPr>
          <w:rFonts w:ascii="Arial" w:hAnsi="Arial" w:cs="Arial"/>
          <w:sz w:val="22"/>
          <w:szCs w:val="22"/>
          <w:lang w:eastAsia="ar-SA"/>
        </w:rPr>
      </w:pPr>
    </w:p>
    <w:p>
      <w:pPr>
        <w:pStyle w:val="ListParagraph"/>
        <w:numPr>
          <w:ilvl w:val="1"/>
          <w:numId w:val="24"/>
        </w:numPr>
        <w:ind w:left="1418" w:hanging="709"/>
        <w:jc w:val="both"/>
        <w:rPr>
          <w:rFonts w:ascii="Arial" w:hAnsi="Arial" w:cs="Arial"/>
          <w:iCs/>
          <w:sz w:val="22"/>
          <w:szCs w:val="22"/>
        </w:rPr>
      </w:pPr>
      <w:r>
        <w:rPr>
          <w:rFonts w:ascii="Arial" w:hAnsi="Arial" w:cs="Arial"/>
          <w:b/>
          <w:sz w:val="22"/>
          <w:szCs w:val="22"/>
        </w:rPr>
        <w:t xml:space="preserve">We recommended that Management </w:t>
      </w:r>
      <w:bookmarkStart w:id="2" w:name="_gjdgxs"/>
      <w:bookmarkEnd w:id="2"/>
      <w:r>
        <w:rPr>
          <w:rFonts w:ascii="Arial" w:hAnsi="Arial" w:cs="Arial"/>
          <w:b/>
          <w:color w:val="000000"/>
          <w:sz w:val="22"/>
          <w:szCs w:val="22"/>
        </w:rPr>
        <w:t>direct the GAD Focal Point System to strictly comply with the requirements contained in the various MCs issued by the PCW relative to the preparation and submission of GPB and GAD AR to the PCW for endorsement/review</w:t>
      </w:r>
      <w:r>
        <w:rPr>
          <w:rFonts w:ascii="Arial" w:hAnsi="Arial" w:cs="Arial"/>
          <w:b/>
          <w:sz w:val="22"/>
          <w:szCs w:val="22"/>
        </w:rPr>
        <w:t>.</w:t>
      </w:r>
    </w:p>
    <w:p>
      <w:pPr>
        <w:pStyle w:val="ListParagraph"/>
        <w:jc w:val="both"/>
        <w:rPr>
          <w:rFonts w:ascii="Arial" w:hAnsi="Arial" w:cs="Arial"/>
          <w:iCs/>
          <w:sz w:val="22"/>
          <w:szCs w:val="22"/>
        </w:rPr>
      </w:pPr>
    </w:p>
    <w:p>
      <w:pPr>
        <w:pStyle w:val="ListParagraph"/>
        <w:numPr>
          <w:ilvl w:val="1"/>
          <w:numId w:val="24"/>
        </w:numPr>
        <w:ind w:left="1418" w:hanging="709"/>
        <w:jc w:val="both"/>
        <w:rPr>
          <w:rFonts w:ascii="Arial" w:hAnsi="Arial" w:cs="Arial"/>
          <w:b/>
          <w:iCs/>
          <w:color w:val="000000" w:themeColor="text1"/>
          <w:sz w:val="22"/>
          <w:szCs w:val="22"/>
        </w:rPr>
      </w:pPr>
      <w:r>
        <w:rPr>
          <w:rFonts w:ascii="Arial" w:hAnsi="Arial" w:cs="Arial"/>
          <w:color w:val="000000" w:themeColor="text1"/>
          <w:sz w:val="22"/>
          <w:szCs w:val="22"/>
          <w:lang w:eastAsia="x-none" w:bidi="x-none"/>
        </w:rPr>
        <w:t>Management informed that the CY 2020 Annual GAD AR is ready for uploading to the PCW GMMS account of PCSO</w:t>
      </w:r>
      <w:r>
        <w:rPr>
          <w:rFonts w:ascii="Arial" w:hAnsi="Arial" w:cs="Arial"/>
          <w:color w:val="000000" w:themeColor="text1"/>
          <w:sz w:val="22"/>
          <w:szCs w:val="22"/>
        </w:rPr>
        <w:t xml:space="preserve">. </w:t>
      </w:r>
    </w:p>
    <w:p>
      <w:pPr>
        <w:spacing w:after="0" w:line="240" w:lineRule="auto"/>
        <w:jc w:val="both"/>
        <w:rPr>
          <w:rFonts w:ascii="Arial" w:hAnsi="Arial" w:cs="Arial"/>
          <w:b/>
          <w:iCs/>
        </w:rPr>
      </w:pPr>
    </w:p>
    <w:p>
      <w:pPr>
        <w:spacing w:after="0" w:line="240" w:lineRule="auto"/>
        <w:jc w:val="both"/>
        <w:rPr>
          <w:rFonts w:ascii="Arial" w:hAnsi="Arial" w:cs="Arial"/>
          <w:b/>
          <w:iCs/>
        </w:rPr>
      </w:pPr>
    </w:p>
    <w:p>
      <w:pPr>
        <w:spacing w:after="0" w:line="240" w:lineRule="auto"/>
        <w:contextualSpacing/>
        <w:jc w:val="both"/>
        <w:rPr>
          <w:rFonts w:ascii="Arial" w:hAnsi="Arial" w:cs="Arial"/>
          <w:b/>
          <w:iCs/>
        </w:rPr>
      </w:pPr>
      <w:r>
        <w:rPr>
          <w:rFonts w:ascii="Arial" w:hAnsi="Arial" w:cs="Arial"/>
          <w:b/>
          <w:iCs/>
        </w:rPr>
        <w:t>COVID RELATED EXPENSES</w:t>
      </w:r>
    </w:p>
    <w:p>
      <w:pPr>
        <w:pStyle w:val="ListParagraph"/>
        <w:jc w:val="both"/>
        <w:rPr>
          <w:rFonts w:ascii="Arial" w:hAnsi="Arial" w:cs="Arial"/>
          <w:iCs/>
          <w:sz w:val="22"/>
          <w:szCs w:val="22"/>
        </w:rPr>
      </w:pPr>
    </w:p>
    <w:p>
      <w:pPr>
        <w:pStyle w:val="ListParagraph"/>
        <w:numPr>
          <w:ilvl w:val="0"/>
          <w:numId w:val="6"/>
        </w:numPr>
        <w:ind w:left="720" w:hanging="720"/>
        <w:jc w:val="both"/>
        <w:rPr>
          <w:rFonts w:ascii="Arial" w:hAnsi="Arial" w:cs="Arial"/>
          <w:b/>
          <w:iCs/>
          <w:sz w:val="22"/>
          <w:szCs w:val="22"/>
        </w:rPr>
      </w:pPr>
      <w:r>
        <w:rPr>
          <w:rFonts w:ascii="Arial" w:hAnsi="Arial" w:cs="Arial"/>
          <w:b/>
          <w:color w:val="000000" w:themeColor="text1"/>
          <w:sz w:val="22"/>
          <w:szCs w:val="22"/>
        </w:rPr>
        <w:t>The Financial Assistance granted to PCSO officials, employees, Board of Directors (BOD), J</w:t>
      </w:r>
      <w:r>
        <w:rPr>
          <w:rFonts w:ascii="Arial" w:hAnsi="Arial" w:cs="Arial"/>
          <w:b/>
          <w:iCs/>
          <w:color w:val="000000" w:themeColor="text1"/>
          <w:sz w:val="22"/>
          <w:szCs w:val="22"/>
        </w:rPr>
        <w:t>ob Order (JO) workers  and Confidential Agents (CAs)</w:t>
      </w:r>
      <w:r>
        <w:rPr>
          <w:rFonts w:ascii="Arial" w:hAnsi="Arial" w:cs="Arial"/>
          <w:b/>
          <w:color w:val="000000" w:themeColor="text1"/>
          <w:sz w:val="22"/>
          <w:szCs w:val="22"/>
        </w:rPr>
        <w:t xml:space="preserve">  in the total amount of P61.330 million was bereft of legal basis, thus considered an irregular expenditure as defined under Section 3.0 of COA Circular No. 2012-003 dated October 29, 2012</w:t>
      </w:r>
      <w:r>
        <w:rPr>
          <w:rFonts w:ascii="Arial" w:hAnsi="Arial" w:cs="Arial"/>
          <w:b/>
          <w:sz w:val="22"/>
          <w:szCs w:val="22"/>
        </w:rPr>
        <w:t>.</w:t>
      </w:r>
    </w:p>
    <w:p>
      <w:pPr>
        <w:pStyle w:val="ListParagraph"/>
        <w:jc w:val="both"/>
        <w:rPr>
          <w:rFonts w:ascii="Arial" w:hAnsi="Arial" w:cs="Arial"/>
          <w:b/>
          <w:iCs/>
          <w:sz w:val="22"/>
          <w:szCs w:val="22"/>
        </w:rPr>
      </w:pPr>
    </w:p>
    <w:p>
      <w:pPr>
        <w:pStyle w:val="ListParagraph"/>
        <w:numPr>
          <w:ilvl w:val="1"/>
          <w:numId w:val="25"/>
        </w:numPr>
        <w:ind w:left="1418" w:hanging="709"/>
        <w:jc w:val="both"/>
        <w:rPr>
          <w:rFonts w:ascii="Arial" w:hAnsi="Arial" w:cs="Arial"/>
          <w:iCs/>
          <w:color w:val="000000" w:themeColor="text1"/>
          <w:sz w:val="22"/>
          <w:szCs w:val="22"/>
        </w:rPr>
      </w:pPr>
      <w:r>
        <w:rPr>
          <w:rFonts w:ascii="Arial" w:hAnsi="Arial" w:cs="Arial"/>
          <w:color w:val="000000" w:themeColor="text1"/>
          <w:sz w:val="22"/>
          <w:szCs w:val="22"/>
        </w:rPr>
        <w:t>Audit disclosed that the payment of the financial assistance to PCSO officials, employees, BOD, JO workers and CAs in the total amount of P61.330 million was based on the approval by the BOD, thru Board Resolution (BR) No. 0090, s. 2020 dated May 17, 2020, in response to Proclamation No. 922 dated March 8, 2020 declaring a State of Public Health Emergency throughout the Philippines due to COVID-19. In the same BR, the nature on the grant of the assistance was as follows:</w:t>
      </w:r>
    </w:p>
    <w:p>
      <w:pPr>
        <w:pStyle w:val="ListParagraph"/>
        <w:ind w:left="1440"/>
        <w:jc w:val="both"/>
        <w:rPr>
          <w:rFonts w:ascii="Arial" w:hAnsi="Arial" w:cs="Arial"/>
          <w:iCs/>
          <w:sz w:val="22"/>
          <w:szCs w:val="22"/>
        </w:rPr>
      </w:pPr>
    </w:p>
    <w:p>
      <w:pPr>
        <w:tabs>
          <w:tab w:val="left" w:pos="810"/>
        </w:tabs>
        <w:spacing w:after="0" w:line="240" w:lineRule="auto"/>
        <w:ind w:left="1985" w:right="691"/>
        <w:jc w:val="both"/>
        <w:rPr>
          <w:rFonts w:ascii="Arial" w:hAnsi="Arial" w:cs="Arial"/>
          <w:i/>
          <w:color w:val="000000" w:themeColor="text1"/>
        </w:rPr>
      </w:pPr>
      <w:r>
        <w:rPr>
          <w:rFonts w:ascii="Arial" w:hAnsi="Arial" w:cs="Arial"/>
          <w:i/>
          <w:color w:val="000000" w:themeColor="text1"/>
        </w:rPr>
        <w:t>Whereas, the Charity Assistance Program Guidelines provide that the PCSO may also grant direct financial assistance to its internal workforce in case of pandemic of national and international concern which threaten individual’s health and safety and national security.</w:t>
      </w:r>
    </w:p>
    <w:p>
      <w:pPr>
        <w:tabs>
          <w:tab w:val="left" w:pos="810"/>
        </w:tabs>
        <w:spacing w:after="0" w:line="240" w:lineRule="auto"/>
        <w:ind w:left="1985" w:right="691"/>
        <w:jc w:val="both"/>
        <w:rPr>
          <w:rFonts w:ascii="Arial" w:hAnsi="Arial" w:cs="Arial"/>
          <w:i/>
          <w:color w:val="000000" w:themeColor="text1"/>
        </w:rPr>
      </w:pPr>
    </w:p>
    <w:p>
      <w:pPr>
        <w:tabs>
          <w:tab w:val="left" w:pos="990"/>
          <w:tab w:val="left" w:pos="7920"/>
        </w:tabs>
        <w:spacing w:after="0" w:line="240" w:lineRule="auto"/>
        <w:ind w:left="1985" w:right="691"/>
        <w:jc w:val="both"/>
        <w:rPr>
          <w:rFonts w:ascii="Arial" w:hAnsi="Arial" w:cs="Arial"/>
          <w:i/>
          <w:color w:val="000000" w:themeColor="text1"/>
        </w:rPr>
      </w:pPr>
      <w:r>
        <w:rPr>
          <w:rFonts w:ascii="Arial" w:hAnsi="Arial" w:cs="Arial"/>
          <w:i/>
          <w:color w:val="000000" w:themeColor="text1"/>
        </w:rPr>
        <w:t xml:space="preserve">Whereas the Management recommended to the Board, through PCSO’s existing </w:t>
      </w:r>
      <w:r>
        <w:rPr>
          <w:rFonts w:ascii="Arial" w:hAnsi="Arial" w:cs="Arial"/>
          <w:b/>
          <w:i/>
          <w:color w:val="000000" w:themeColor="text1"/>
        </w:rPr>
        <w:t>Calamity Assistance Program</w:t>
      </w:r>
      <w:r>
        <w:rPr>
          <w:rFonts w:ascii="Arial" w:hAnsi="Arial" w:cs="Arial"/>
          <w:i/>
          <w:color w:val="000000" w:themeColor="text1"/>
        </w:rPr>
        <w:t xml:space="preserve"> for its employees and other beneficiaries, the approval of the Financial Assistance for PCSO employees in Crisis Situation xxx.</w:t>
      </w:r>
    </w:p>
    <w:p>
      <w:pPr>
        <w:pStyle w:val="ListParagraph"/>
        <w:ind w:left="1440"/>
        <w:jc w:val="both"/>
        <w:rPr>
          <w:rFonts w:ascii="Arial" w:hAnsi="Arial" w:cs="Arial"/>
          <w:iCs/>
          <w:sz w:val="22"/>
          <w:szCs w:val="22"/>
        </w:rPr>
      </w:pPr>
    </w:p>
    <w:p>
      <w:pPr>
        <w:pStyle w:val="ListParagraph"/>
        <w:numPr>
          <w:ilvl w:val="1"/>
          <w:numId w:val="25"/>
        </w:numPr>
        <w:ind w:left="1418" w:hanging="709"/>
        <w:jc w:val="both"/>
        <w:rPr>
          <w:rFonts w:ascii="Arial" w:hAnsi="Arial" w:cs="Arial"/>
          <w:b/>
          <w:iCs/>
          <w:color w:val="000000" w:themeColor="text1"/>
          <w:sz w:val="22"/>
          <w:szCs w:val="22"/>
        </w:rPr>
      </w:pPr>
      <w:r>
        <w:rPr>
          <w:rFonts w:ascii="Arial" w:hAnsi="Arial" w:cs="Arial"/>
          <w:color w:val="000000" w:themeColor="text1"/>
          <w:sz w:val="22"/>
          <w:szCs w:val="22"/>
          <w:lang w:val="en-PH"/>
        </w:rPr>
        <w:lastRenderedPageBreak/>
        <w:t>It was noted, however, that there is no provision in the Charity Assistance Program Guidelines stating that</w:t>
      </w:r>
      <w:r>
        <w:rPr>
          <w:rFonts w:ascii="Arial" w:hAnsi="Arial" w:cs="Arial"/>
          <w:i/>
          <w:iCs/>
          <w:color w:val="000000" w:themeColor="text1"/>
          <w:sz w:val="22"/>
          <w:szCs w:val="22"/>
          <w:lang w:val="en-PH"/>
        </w:rPr>
        <w:t xml:space="preserve"> “the PCSO may also grant direct financial assistance to its internal workforce in case of pandemic of national and international concern.”</w:t>
      </w:r>
      <w:r>
        <w:rPr>
          <w:rFonts w:ascii="Arial" w:hAnsi="Arial" w:cs="Arial"/>
          <w:color w:val="000000" w:themeColor="text1"/>
          <w:sz w:val="22"/>
          <w:szCs w:val="22"/>
          <w:lang w:val="en-PH"/>
        </w:rPr>
        <w:t xml:space="preserve">  The clear intents and purposes of the said Calamity Assistance Program of the PCSO are to provide for health and medical assistance as well as charities of national character to areas and persons affected by calamities, in support of the disaster response measure of the national and local governments.</w:t>
      </w:r>
    </w:p>
    <w:p>
      <w:pPr>
        <w:spacing w:after="0" w:line="240" w:lineRule="auto"/>
        <w:jc w:val="both"/>
        <w:rPr>
          <w:rFonts w:ascii="Arial" w:hAnsi="Arial" w:cs="Arial"/>
          <w:b/>
          <w:iCs/>
        </w:rPr>
      </w:pPr>
    </w:p>
    <w:p>
      <w:pPr>
        <w:pStyle w:val="ListParagraph"/>
        <w:numPr>
          <w:ilvl w:val="1"/>
          <w:numId w:val="25"/>
        </w:numPr>
        <w:ind w:left="1418" w:hanging="709"/>
        <w:jc w:val="both"/>
        <w:rPr>
          <w:rFonts w:ascii="Arial" w:hAnsi="Arial" w:cs="Arial"/>
          <w:b/>
          <w:iCs/>
          <w:sz w:val="22"/>
          <w:szCs w:val="22"/>
        </w:rPr>
      </w:pPr>
      <w:r>
        <w:rPr>
          <w:rFonts w:ascii="Arial" w:hAnsi="Arial" w:cs="Arial"/>
          <w:color w:val="000000" w:themeColor="text1"/>
          <w:sz w:val="22"/>
          <w:szCs w:val="22"/>
          <w:lang w:val="en-PH"/>
        </w:rPr>
        <w:t>Moreover, Section 3 of RA No. 11469, clearly states that one of the reasons for the declaration of the existence of national emergency arising from the COVID-19 was the urgent need to mobilize assistance in the provision of basic necessities to families and individuals affected by the imposition of the community quarantine, especially indigents and their families</w:t>
      </w:r>
      <w:r>
        <w:rPr>
          <w:rFonts w:ascii="Arial" w:hAnsi="Arial" w:cs="Arial"/>
          <w:sz w:val="22"/>
          <w:szCs w:val="22"/>
          <w:lang w:val="en-PH"/>
        </w:rPr>
        <w:t>.</w:t>
      </w:r>
    </w:p>
    <w:p>
      <w:pPr>
        <w:pStyle w:val="ListParagraph"/>
        <w:rPr>
          <w:rFonts w:ascii="Arial" w:hAnsi="Arial" w:cs="Arial"/>
          <w:b/>
          <w:iCs/>
          <w:sz w:val="22"/>
          <w:szCs w:val="22"/>
        </w:rPr>
      </w:pPr>
    </w:p>
    <w:p>
      <w:pPr>
        <w:pStyle w:val="ListParagraph"/>
        <w:numPr>
          <w:ilvl w:val="1"/>
          <w:numId w:val="25"/>
        </w:numPr>
        <w:ind w:left="1418" w:hanging="709"/>
        <w:jc w:val="both"/>
        <w:rPr>
          <w:rFonts w:ascii="Arial" w:hAnsi="Arial" w:cs="Arial"/>
          <w:iCs/>
          <w:color w:val="000000" w:themeColor="text1"/>
          <w:sz w:val="22"/>
          <w:szCs w:val="22"/>
        </w:rPr>
      </w:pPr>
      <w:r>
        <w:rPr>
          <w:rFonts w:ascii="Arial" w:hAnsi="Arial" w:cs="Arial"/>
          <w:iCs/>
          <w:color w:val="000000" w:themeColor="text1"/>
          <w:sz w:val="22"/>
          <w:szCs w:val="22"/>
        </w:rPr>
        <w:t xml:space="preserve">While it is true that the PCSO officials, employees, BOD, JO workers and CAs were in areas placed under the community quarantine, nevertheless, they were not adversely affected by the imposition thereof.  Unlike other individuals who lost their jobs or sources of livelihood, the PCSO officials, employees, BOD, JO workers and CAs who received the financial assistance continued receiving their regular compensation/pay.  </w:t>
      </w:r>
    </w:p>
    <w:p>
      <w:pPr>
        <w:spacing w:after="0" w:line="240" w:lineRule="auto"/>
        <w:jc w:val="both"/>
        <w:rPr>
          <w:rFonts w:ascii="Arial" w:hAnsi="Arial" w:cs="Arial"/>
          <w:iCs/>
        </w:rPr>
      </w:pPr>
      <w:r>
        <w:rPr>
          <w:rFonts w:ascii="Arial" w:hAnsi="Arial" w:cs="Arial"/>
          <w:iCs/>
        </w:rPr>
        <w:t xml:space="preserve"> </w:t>
      </w:r>
    </w:p>
    <w:p>
      <w:pPr>
        <w:pStyle w:val="ListParagraph"/>
        <w:numPr>
          <w:ilvl w:val="1"/>
          <w:numId w:val="25"/>
        </w:numPr>
        <w:ind w:left="1418" w:hanging="709"/>
        <w:jc w:val="both"/>
        <w:rPr>
          <w:rFonts w:ascii="Arial" w:hAnsi="Arial" w:cs="Arial"/>
          <w:b/>
          <w:iCs/>
          <w:sz w:val="22"/>
          <w:szCs w:val="22"/>
        </w:rPr>
      </w:pPr>
      <w:r>
        <w:rPr>
          <w:rFonts w:ascii="Arial" w:hAnsi="Arial" w:cs="Arial"/>
          <w:sz w:val="22"/>
          <w:szCs w:val="22"/>
          <w:lang w:val="en-PH"/>
        </w:rPr>
        <w:t xml:space="preserve">It is worth mentioning that actual payment for the financial assistance was made as early as March 13, 2020, pursuant to BR No. 0090, Series 2020 dated March 17, 2020, however, amendments to the existing guidelines of the </w:t>
      </w:r>
      <w:r>
        <w:rPr>
          <w:rFonts w:ascii="Arial" w:hAnsi="Arial" w:cs="Arial"/>
          <w:color w:val="000000" w:themeColor="text1"/>
          <w:sz w:val="22"/>
          <w:szCs w:val="22"/>
          <w:lang w:val="en-PH"/>
        </w:rPr>
        <w:t>Calamity Assistance Program</w:t>
      </w:r>
      <w:r>
        <w:rPr>
          <w:rFonts w:ascii="Arial" w:hAnsi="Arial" w:cs="Arial"/>
          <w:sz w:val="22"/>
          <w:szCs w:val="22"/>
          <w:lang w:val="en-PH"/>
        </w:rPr>
        <w:t>, which served as the basis for the grant thereof was contained under BR No. 0100, Series 2020 dated March 31, 2020.</w:t>
      </w:r>
    </w:p>
    <w:p>
      <w:pPr>
        <w:pStyle w:val="ListParagraph"/>
        <w:rPr>
          <w:rFonts w:ascii="Arial" w:hAnsi="Arial" w:cs="Arial"/>
          <w:b/>
          <w:iCs/>
          <w:sz w:val="22"/>
          <w:szCs w:val="22"/>
        </w:rPr>
      </w:pPr>
    </w:p>
    <w:p>
      <w:pPr>
        <w:pStyle w:val="ListParagraph"/>
        <w:numPr>
          <w:ilvl w:val="1"/>
          <w:numId w:val="25"/>
        </w:numPr>
        <w:ind w:left="1418" w:hanging="709"/>
        <w:jc w:val="both"/>
        <w:rPr>
          <w:rFonts w:ascii="Arial" w:hAnsi="Arial" w:cs="Arial"/>
          <w:b/>
          <w:iCs/>
          <w:color w:val="000000" w:themeColor="text1"/>
          <w:sz w:val="22"/>
          <w:szCs w:val="22"/>
        </w:rPr>
      </w:pPr>
      <w:r>
        <w:rPr>
          <w:rFonts w:ascii="Arial" w:hAnsi="Arial" w:cs="Arial"/>
          <w:color w:val="000000" w:themeColor="text1"/>
          <w:sz w:val="22"/>
          <w:szCs w:val="22"/>
          <w:lang w:val="en-PH"/>
        </w:rPr>
        <w:t xml:space="preserve">The amendments to the existing guidelines for the Calamity Assistance Program of the PCSO contained in BR No. 0100, Series 2020 had the prime objective of granting additional employees’ benefits, which required prior approval by the Office of the President (OP).  Absence thereof resulted in irregular disbursement of government funds for lack of legal basis.  Section 3.0 of COA Circular No. 2012-003 dated October 29, 2012, </w:t>
      </w:r>
      <w:r>
        <w:rPr>
          <w:rFonts w:ascii="Arial" w:hAnsi="Arial" w:cs="Arial"/>
          <w:sz w:val="22"/>
          <w:szCs w:val="22"/>
        </w:rPr>
        <w:t>provides for the definition of irregular expenditure, to wit:</w:t>
      </w:r>
    </w:p>
    <w:p>
      <w:pPr>
        <w:pStyle w:val="ListParagraph"/>
        <w:ind w:left="792"/>
        <w:jc w:val="both"/>
        <w:rPr>
          <w:rFonts w:ascii="Arial" w:eastAsia="Arial" w:hAnsi="Arial" w:cs="Arial"/>
          <w:sz w:val="22"/>
          <w:szCs w:val="22"/>
        </w:rPr>
      </w:pPr>
    </w:p>
    <w:p>
      <w:pPr>
        <w:spacing w:after="0" w:line="240" w:lineRule="auto"/>
        <w:ind w:left="1985" w:right="720"/>
        <w:jc w:val="both"/>
        <w:rPr>
          <w:rFonts w:ascii="Arial" w:eastAsia="Arial" w:hAnsi="Arial" w:cs="Arial"/>
          <w:i/>
        </w:rPr>
      </w:pPr>
      <w:r>
        <w:rPr>
          <w:rFonts w:ascii="Arial" w:eastAsia="Arial" w:hAnsi="Arial" w:cs="Arial"/>
          <w:i/>
        </w:rPr>
        <w:t>The term “irregular expenditure” signifies an expenditure incurred without adhering to established rules, regulations, procedural guidelines, policies, principles, or practices that have gained recognition in laws. Irregular expenditures are incurred if funds are disbursed without conforming with prescribed usages and rules of discipline. There is no observance of an established pattern, course, mode of action, behavior, or conduct in incurring an irregular expenditure. A transaction conducted in a manner that deviates or departs from or does not comply with standards set is deemed irregular. A transaction that fails to follow or violates appropriate rules of procedure is likewise irregular.</w:t>
      </w:r>
    </w:p>
    <w:p>
      <w:pPr>
        <w:pStyle w:val="ListParagraph"/>
        <w:rPr>
          <w:rFonts w:ascii="Arial" w:hAnsi="Arial" w:cs="Arial"/>
          <w:b/>
          <w:iCs/>
          <w:sz w:val="22"/>
          <w:szCs w:val="22"/>
        </w:rPr>
      </w:pPr>
    </w:p>
    <w:p>
      <w:pPr>
        <w:pStyle w:val="ListParagraph"/>
        <w:rPr>
          <w:rFonts w:ascii="Arial" w:hAnsi="Arial" w:cs="Arial"/>
          <w:b/>
          <w:iCs/>
          <w:sz w:val="22"/>
          <w:szCs w:val="22"/>
        </w:rPr>
      </w:pPr>
    </w:p>
    <w:p>
      <w:pPr>
        <w:pStyle w:val="ListParagraph"/>
        <w:numPr>
          <w:ilvl w:val="1"/>
          <w:numId w:val="25"/>
        </w:numPr>
        <w:ind w:left="1418" w:hanging="709"/>
        <w:jc w:val="both"/>
        <w:rPr>
          <w:rFonts w:ascii="Arial" w:hAnsi="Arial" w:cs="Arial"/>
          <w:iCs/>
          <w:color w:val="000000" w:themeColor="text1"/>
          <w:sz w:val="22"/>
          <w:szCs w:val="22"/>
        </w:rPr>
      </w:pPr>
      <w:r>
        <w:rPr>
          <w:rFonts w:ascii="Arial" w:hAnsi="Arial" w:cs="Arial"/>
          <w:iCs/>
          <w:color w:val="000000" w:themeColor="text1"/>
          <w:sz w:val="22"/>
          <w:szCs w:val="22"/>
        </w:rPr>
        <w:lastRenderedPageBreak/>
        <w:t xml:space="preserve">Further, the financial assistance in the total amount of P61.330 million granted to PCSO officials, employees, BOD, JO workers and CAs was made, appear to be in line with </w:t>
      </w:r>
      <w:r>
        <w:rPr>
          <w:rFonts w:ascii="Arial" w:hAnsi="Arial" w:cs="Arial"/>
          <w:color w:val="000000" w:themeColor="text1"/>
          <w:sz w:val="22"/>
          <w:szCs w:val="22"/>
          <w:lang w:val="en-PH"/>
        </w:rPr>
        <w:t>the Calamity Assistance Program</w:t>
      </w:r>
      <w:r>
        <w:rPr>
          <w:rFonts w:ascii="Arial" w:hAnsi="Arial" w:cs="Arial"/>
          <w:iCs/>
          <w:color w:val="000000" w:themeColor="text1"/>
          <w:sz w:val="22"/>
          <w:szCs w:val="22"/>
        </w:rPr>
        <w:t>, one of PCSO’s charity programs being regularly undertaken pursuant to its mandate.  Accordingly, related expenses should be properly charged to the Charity Fund.  However, the disbursement of financial assistance was charged to the Operating Fund making it part of the recipients’ additional compensation/benefits requiring prior approval of the OP.</w:t>
      </w:r>
    </w:p>
    <w:p>
      <w:pPr>
        <w:pStyle w:val="ListParagraph"/>
        <w:rPr>
          <w:rFonts w:ascii="Arial" w:hAnsi="Arial" w:cs="Arial"/>
          <w:iCs/>
          <w:sz w:val="22"/>
          <w:szCs w:val="22"/>
        </w:rPr>
      </w:pPr>
    </w:p>
    <w:p>
      <w:pPr>
        <w:pStyle w:val="ListParagraph"/>
        <w:numPr>
          <w:ilvl w:val="1"/>
          <w:numId w:val="25"/>
        </w:numPr>
        <w:ind w:left="1418" w:hanging="709"/>
        <w:jc w:val="both"/>
        <w:rPr>
          <w:rFonts w:ascii="Arial" w:hAnsi="Arial" w:cs="Arial"/>
          <w:iCs/>
          <w:sz w:val="22"/>
          <w:szCs w:val="22"/>
        </w:rPr>
      </w:pPr>
      <w:r>
        <w:rPr>
          <w:rFonts w:ascii="Arial" w:hAnsi="Arial" w:cs="Arial"/>
          <w:iCs/>
          <w:sz w:val="22"/>
          <w:szCs w:val="22"/>
        </w:rPr>
        <w:t>Granting the financial assistance has been charged to the Charity Fund, prior approval of the OP is also necessary pursuant to BR No. 028, s. 2013, which requires disbursement charged against the Charity Fund for amounts exceeding P10 million shall be approved by the OP.</w:t>
      </w:r>
    </w:p>
    <w:p>
      <w:pPr>
        <w:pStyle w:val="ListParagraph"/>
        <w:rPr>
          <w:rFonts w:ascii="Arial" w:hAnsi="Arial" w:cs="Arial"/>
          <w:iCs/>
          <w:sz w:val="22"/>
          <w:szCs w:val="22"/>
        </w:rPr>
      </w:pPr>
    </w:p>
    <w:p>
      <w:pPr>
        <w:pStyle w:val="ListParagraph"/>
        <w:numPr>
          <w:ilvl w:val="1"/>
          <w:numId w:val="25"/>
        </w:numPr>
        <w:ind w:left="1418" w:hanging="709"/>
        <w:jc w:val="both"/>
        <w:rPr>
          <w:rFonts w:ascii="Arial" w:hAnsi="Arial" w:cs="Arial"/>
          <w:iCs/>
          <w:sz w:val="22"/>
          <w:szCs w:val="22"/>
        </w:rPr>
      </w:pPr>
      <w:r>
        <w:rPr>
          <w:rFonts w:ascii="Arial" w:hAnsi="Arial" w:cs="Arial"/>
          <w:iCs/>
          <w:color w:val="000000" w:themeColor="text1"/>
          <w:sz w:val="22"/>
          <w:szCs w:val="22"/>
        </w:rPr>
        <w:t xml:space="preserve">Thus, whether the financial assistance of </w:t>
      </w:r>
      <w:r>
        <w:rPr>
          <w:rFonts w:ascii="Arial" w:hAnsi="Arial" w:cs="Arial"/>
          <w:color w:val="000000" w:themeColor="text1"/>
          <w:sz w:val="22"/>
          <w:szCs w:val="22"/>
        </w:rPr>
        <w:t>P61.330 million</w:t>
      </w:r>
      <w:r>
        <w:rPr>
          <w:rFonts w:ascii="Arial" w:hAnsi="Arial" w:cs="Arial"/>
          <w:iCs/>
          <w:color w:val="000000" w:themeColor="text1"/>
          <w:sz w:val="22"/>
          <w:szCs w:val="22"/>
        </w:rPr>
        <w:t xml:space="preserve"> was charged to the Operating Fund or the Charity Fund, both required prior approval of the OP.  Absence thereof constituted irregular disbursement that is disallowable in audit pursuant to COA Circular No. 2012-003 dated October 29, 2021</w:t>
      </w:r>
      <w:r>
        <w:rPr>
          <w:rFonts w:ascii="Arial" w:hAnsi="Arial" w:cs="Arial"/>
          <w:iCs/>
          <w:sz w:val="22"/>
          <w:szCs w:val="22"/>
        </w:rPr>
        <w:t>.</w:t>
      </w:r>
    </w:p>
    <w:p>
      <w:pPr>
        <w:pStyle w:val="ListParagraph"/>
        <w:ind w:left="1440"/>
        <w:jc w:val="both"/>
        <w:rPr>
          <w:rFonts w:ascii="Arial" w:hAnsi="Arial" w:cs="Arial"/>
          <w:b/>
          <w:iCs/>
          <w:sz w:val="22"/>
          <w:szCs w:val="22"/>
        </w:rPr>
      </w:pPr>
    </w:p>
    <w:p>
      <w:pPr>
        <w:pStyle w:val="ListParagraph"/>
        <w:numPr>
          <w:ilvl w:val="1"/>
          <w:numId w:val="25"/>
        </w:numPr>
        <w:ind w:left="1418" w:hanging="709"/>
        <w:jc w:val="both"/>
        <w:rPr>
          <w:rFonts w:ascii="Arial" w:hAnsi="Arial" w:cs="Arial"/>
          <w:b/>
          <w:iCs/>
          <w:color w:val="000000" w:themeColor="text1"/>
          <w:sz w:val="22"/>
          <w:szCs w:val="22"/>
        </w:rPr>
      </w:pPr>
      <w:r>
        <w:rPr>
          <w:rFonts w:ascii="Arial" w:hAnsi="Arial" w:cs="Arial"/>
          <w:b/>
          <w:iCs/>
          <w:color w:val="000000" w:themeColor="text1"/>
          <w:sz w:val="22"/>
          <w:szCs w:val="22"/>
        </w:rPr>
        <w:t>We recommended that Management:</w:t>
      </w:r>
    </w:p>
    <w:p>
      <w:pPr>
        <w:pStyle w:val="ListParagraph"/>
        <w:ind w:left="1440"/>
        <w:jc w:val="both"/>
        <w:rPr>
          <w:rFonts w:ascii="Arial" w:hAnsi="Arial" w:cs="Arial"/>
          <w:b/>
          <w:iCs/>
          <w:color w:val="000000" w:themeColor="text1"/>
          <w:sz w:val="22"/>
          <w:szCs w:val="22"/>
        </w:rPr>
      </w:pPr>
    </w:p>
    <w:p>
      <w:pPr>
        <w:pStyle w:val="ListParagraph"/>
        <w:numPr>
          <w:ilvl w:val="1"/>
          <w:numId w:val="2"/>
        </w:numPr>
        <w:ind w:left="1985" w:hanging="567"/>
        <w:jc w:val="both"/>
        <w:rPr>
          <w:rFonts w:ascii="Arial" w:hAnsi="Arial" w:cs="Arial"/>
          <w:b/>
          <w:iCs/>
          <w:color w:val="000000" w:themeColor="text1"/>
          <w:sz w:val="22"/>
          <w:szCs w:val="22"/>
        </w:rPr>
      </w:pPr>
      <w:r>
        <w:rPr>
          <w:rFonts w:ascii="Arial" w:hAnsi="Arial" w:cs="Arial"/>
          <w:b/>
          <w:iCs/>
          <w:color w:val="000000" w:themeColor="text1"/>
          <w:sz w:val="22"/>
          <w:szCs w:val="22"/>
        </w:rPr>
        <w:t>Submit approval of the OP on the financial assistance granted to officers, employees, BOD, JO workers and CAs in  the total amount of P61.330 million; otherwise, the same shall be disallowed in audit pursuant to COA Circular No. 2012-003 dated October 29, 2012; and</w:t>
      </w:r>
    </w:p>
    <w:p>
      <w:pPr>
        <w:pStyle w:val="ListParagraph"/>
        <w:ind w:left="1985" w:hanging="567"/>
        <w:jc w:val="both"/>
        <w:rPr>
          <w:rFonts w:ascii="Arial" w:hAnsi="Arial" w:cs="Arial"/>
          <w:b/>
          <w:iCs/>
          <w:color w:val="000000" w:themeColor="text1"/>
          <w:sz w:val="22"/>
          <w:szCs w:val="22"/>
        </w:rPr>
      </w:pPr>
    </w:p>
    <w:p>
      <w:pPr>
        <w:pStyle w:val="ListParagraph"/>
        <w:numPr>
          <w:ilvl w:val="1"/>
          <w:numId w:val="2"/>
        </w:numPr>
        <w:ind w:left="1985" w:hanging="567"/>
        <w:jc w:val="both"/>
        <w:rPr>
          <w:rFonts w:ascii="Arial" w:hAnsi="Arial" w:cs="Arial"/>
          <w:b/>
          <w:iCs/>
          <w:color w:val="000000" w:themeColor="text1"/>
          <w:sz w:val="22"/>
          <w:szCs w:val="22"/>
        </w:rPr>
      </w:pPr>
      <w:r>
        <w:rPr>
          <w:rFonts w:ascii="Arial" w:hAnsi="Arial" w:cs="Arial"/>
          <w:b/>
          <w:iCs/>
          <w:color w:val="000000" w:themeColor="text1"/>
          <w:sz w:val="22"/>
          <w:szCs w:val="22"/>
        </w:rPr>
        <w:t>Henceforth, exercise at all times the diligence of a good father of a family in running the affairs of the PCSO by ensuring that disbursements of government’s funds are clothed with pertinent legal basis.</w:t>
      </w:r>
    </w:p>
    <w:p>
      <w:pPr>
        <w:spacing w:after="0" w:line="240" w:lineRule="auto"/>
        <w:ind w:left="1985" w:hanging="567"/>
        <w:jc w:val="both"/>
        <w:rPr>
          <w:rFonts w:ascii="Arial" w:hAnsi="Arial" w:cs="Arial"/>
          <w:b/>
          <w:iCs/>
        </w:rPr>
      </w:pPr>
    </w:p>
    <w:p>
      <w:pPr>
        <w:pStyle w:val="ListParagraph"/>
        <w:numPr>
          <w:ilvl w:val="1"/>
          <w:numId w:val="25"/>
        </w:numPr>
        <w:ind w:left="1418" w:hanging="709"/>
        <w:jc w:val="both"/>
        <w:rPr>
          <w:rFonts w:ascii="Arial" w:hAnsi="Arial" w:cs="Arial"/>
          <w:iCs/>
          <w:color w:val="000000" w:themeColor="text1"/>
          <w:sz w:val="22"/>
          <w:szCs w:val="22"/>
        </w:rPr>
      </w:pPr>
      <w:r>
        <w:rPr>
          <w:rFonts w:ascii="Arial" w:hAnsi="Arial" w:cs="Arial"/>
          <w:iCs/>
          <w:color w:val="000000" w:themeColor="text1"/>
          <w:sz w:val="22"/>
          <w:szCs w:val="22"/>
        </w:rPr>
        <w:t>Management commented that:</w:t>
      </w:r>
    </w:p>
    <w:p>
      <w:pPr>
        <w:pStyle w:val="ListParagraph"/>
        <w:ind w:left="1440"/>
        <w:jc w:val="both"/>
        <w:rPr>
          <w:rFonts w:ascii="Arial" w:hAnsi="Arial" w:cs="Arial"/>
          <w:iCs/>
          <w:color w:val="000000" w:themeColor="text1"/>
          <w:sz w:val="22"/>
          <w:szCs w:val="22"/>
        </w:rPr>
      </w:pPr>
    </w:p>
    <w:p>
      <w:pPr>
        <w:pStyle w:val="ListParagraph"/>
        <w:numPr>
          <w:ilvl w:val="7"/>
          <w:numId w:val="12"/>
        </w:numPr>
        <w:ind w:left="1985" w:hanging="567"/>
        <w:jc w:val="both"/>
        <w:rPr>
          <w:rFonts w:ascii="Arial" w:hAnsi="Arial" w:cs="Arial"/>
          <w:iCs/>
          <w:color w:val="000000" w:themeColor="text1"/>
          <w:sz w:val="22"/>
          <w:szCs w:val="22"/>
        </w:rPr>
      </w:pPr>
      <w:r>
        <w:rPr>
          <w:rFonts w:ascii="Arial" w:eastAsiaTheme="minorHAnsi" w:hAnsi="Arial" w:cs="Arial"/>
          <w:color w:val="000000" w:themeColor="text1"/>
          <w:sz w:val="22"/>
          <w:szCs w:val="22"/>
        </w:rPr>
        <w:t>As early as 2012, under BR No. 0068, s. 2012, the PCSO BOD approved the policy on calamity assistance to PCSO employees. In the said policy, a maximum amount of P50,000.00 may be granted to employees depending on the gravity or magnitude of damages suffered.</w:t>
      </w:r>
    </w:p>
    <w:p>
      <w:pPr>
        <w:pStyle w:val="ListParagraph"/>
        <w:ind w:left="1985" w:hanging="567"/>
        <w:jc w:val="both"/>
        <w:rPr>
          <w:rFonts w:ascii="Arial" w:hAnsi="Arial" w:cs="Arial"/>
          <w:iCs/>
          <w:color w:val="000000" w:themeColor="text1"/>
          <w:sz w:val="22"/>
          <w:szCs w:val="22"/>
        </w:rPr>
      </w:pPr>
    </w:p>
    <w:p>
      <w:pPr>
        <w:pStyle w:val="ListParagraph"/>
        <w:numPr>
          <w:ilvl w:val="7"/>
          <w:numId w:val="12"/>
        </w:numPr>
        <w:ind w:left="1985" w:hanging="567"/>
        <w:jc w:val="both"/>
        <w:rPr>
          <w:rFonts w:ascii="Arial" w:hAnsi="Arial" w:cs="Arial"/>
          <w:iCs/>
          <w:color w:val="000000" w:themeColor="text1"/>
          <w:sz w:val="22"/>
          <w:szCs w:val="22"/>
        </w:rPr>
      </w:pPr>
      <w:r>
        <w:rPr>
          <w:rFonts w:ascii="Arial" w:eastAsiaTheme="minorHAnsi" w:hAnsi="Arial" w:cs="Arial"/>
          <w:color w:val="000000" w:themeColor="text1"/>
          <w:sz w:val="22"/>
          <w:szCs w:val="22"/>
        </w:rPr>
        <w:t>The amount granted as financial assistance was a result of careful deliberation among the Board members, taking into consideration the possible length of time a big portion of the country would be placed in quarantine/lockdown where major establishments providing basic necessities may/would be closed.</w:t>
      </w:r>
    </w:p>
    <w:p>
      <w:pPr>
        <w:spacing w:after="0" w:line="240" w:lineRule="auto"/>
        <w:ind w:left="1985" w:hanging="567"/>
        <w:jc w:val="both"/>
        <w:rPr>
          <w:rFonts w:ascii="Arial" w:hAnsi="Arial" w:cs="Arial"/>
          <w:iCs/>
          <w:color w:val="000000" w:themeColor="text1"/>
        </w:rPr>
      </w:pPr>
    </w:p>
    <w:p>
      <w:pPr>
        <w:pStyle w:val="ListParagraph"/>
        <w:numPr>
          <w:ilvl w:val="7"/>
          <w:numId w:val="12"/>
        </w:numPr>
        <w:ind w:left="1985" w:hanging="567"/>
        <w:jc w:val="both"/>
        <w:rPr>
          <w:rFonts w:ascii="Arial" w:hAnsi="Arial" w:cs="Arial"/>
          <w:iCs/>
          <w:color w:val="000000" w:themeColor="text1"/>
          <w:sz w:val="22"/>
          <w:szCs w:val="22"/>
        </w:rPr>
      </w:pPr>
      <w:r>
        <w:rPr>
          <w:rFonts w:ascii="Arial" w:eastAsiaTheme="minorHAnsi" w:hAnsi="Arial" w:cs="Arial"/>
          <w:color w:val="000000" w:themeColor="text1"/>
          <w:sz w:val="22"/>
          <w:szCs w:val="22"/>
        </w:rPr>
        <w:t xml:space="preserve">In this case, the financial assistance granted to the PCSO officials and employees aimed to mitigate the impact caused by the declaration of the state of public health emergency through the provision thereof, assist the employees and their dependents in </w:t>
      </w:r>
      <w:r>
        <w:rPr>
          <w:rFonts w:ascii="Arial" w:eastAsiaTheme="minorHAnsi" w:hAnsi="Arial" w:cs="Arial"/>
          <w:color w:val="000000" w:themeColor="text1"/>
          <w:sz w:val="22"/>
          <w:szCs w:val="22"/>
        </w:rPr>
        <w:lastRenderedPageBreak/>
        <w:t>dealing with the current crisis situation, and serve as financial aid to preserve the life and health of PCSO officials and employees. The request for the financial assistance was made by the Sweepstakes Employees Union (SEU) and was duly acted upon by PCSO Management, taking into consideration the direness of the COVID-19 situation.</w:t>
      </w:r>
    </w:p>
    <w:p>
      <w:pPr>
        <w:spacing w:after="0" w:line="240" w:lineRule="auto"/>
        <w:jc w:val="both"/>
        <w:rPr>
          <w:rFonts w:ascii="Arial" w:hAnsi="Arial" w:cs="Arial"/>
          <w:iCs/>
        </w:rPr>
      </w:pPr>
    </w:p>
    <w:p>
      <w:pPr>
        <w:pStyle w:val="ListParagraph"/>
        <w:numPr>
          <w:ilvl w:val="7"/>
          <w:numId w:val="12"/>
        </w:numPr>
        <w:ind w:left="1985" w:hanging="567"/>
        <w:jc w:val="both"/>
        <w:rPr>
          <w:rFonts w:ascii="Arial" w:hAnsi="Arial" w:cs="Arial"/>
          <w:iCs/>
          <w:color w:val="000000" w:themeColor="text1"/>
          <w:sz w:val="22"/>
          <w:szCs w:val="22"/>
        </w:rPr>
      </w:pPr>
      <w:r>
        <w:rPr>
          <w:rFonts w:ascii="Arial" w:eastAsiaTheme="minorHAnsi" w:hAnsi="Arial" w:cs="Arial"/>
          <w:color w:val="000000" w:themeColor="text1"/>
          <w:sz w:val="22"/>
          <w:szCs w:val="22"/>
        </w:rPr>
        <w:t xml:space="preserve">While the premise used in the grant was in consonance with the </w:t>
      </w:r>
      <w:r>
        <w:rPr>
          <w:rFonts w:ascii="Arial" w:hAnsi="Arial" w:cs="Arial"/>
          <w:color w:val="000000" w:themeColor="text1"/>
          <w:sz w:val="22"/>
          <w:szCs w:val="22"/>
          <w:lang w:val="en-PH"/>
        </w:rPr>
        <w:t>Charity Assistance Program Guidelines</w:t>
      </w:r>
      <w:r>
        <w:rPr>
          <w:rFonts w:ascii="Arial" w:eastAsiaTheme="minorHAnsi" w:hAnsi="Arial" w:cs="Arial"/>
          <w:color w:val="000000" w:themeColor="text1"/>
          <w:sz w:val="22"/>
          <w:szCs w:val="22"/>
        </w:rPr>
        <w:t xml:space="preserve"> which were amended in late March 2020, the very purpose of the financial assistance is a one-time grant that has to be immediately disbursed prior to the pending quarantine/lockdown; hence, it was charged to the Operating Fund.  There is no intent to treat such as additional employee benefits.  PCSO relied only on the directive that the agency may use its available resources to curtail the COVID-19 threat, which is not only a public health issue but an economic issue.</w:t>
      </w:r>
    </w:p>
    <w:p>
      <w:pPr>
        <w:pStyle w:val="ListParagraph"/>
        <w:ind w:left="1800"/>
        <w:jc w:val="both"/>
        <w:rPr>
          <w:rFonts w:ascii="Arial" w:hAnsi="Arial" w:cs="Arial"/>
          <w:iCs/>
          <w:sz w:val="22"/>
          <w:szCs w:val="22"/>
        </w:rPr>
      </w:pPr>
    </w:p>
    <w:p>
      <w:pPr>
        <w:pStyle w:val="ListParagraph"/>
        <w:numPr>
          <w:ilvl w:val="7"/>
          <w:numId w:val="12"/>
        </w:numPr>
        <w:ind w:left="1985" w:hanging="567"/>
        <w:jc w:val="both"/>
        <w:rPr>
          <w:rFonts w:ascii="Arial" w:hAnsi="Arial" w:cs="Arial"/>
          <w:iCs/>
          <w:color w:val="000000" w:themeColor="text1"/>
          <w:sz w:val="22"/>
          <w:szCs w:val="22"/>
        </w:rPr>
      </w:pPr>
      <w:r>
        <w:rPr>
          <w:rFonts w:ascii="Arial" w:eastAsiaTheme="minorHAnsi" w:hAnsi="Arial" w:cs="Arial"/>
          <w:color w:val="000000" w:themeColor="text1"/>
          <w:sz w:val="22"/>
          <w:szCs w:val="22"/>
        </w:rPr>
        <w:t>Considering Presidential Proclamation No. 922, s. 2020 (March 8, 2020), PCSO deemed it wise, as a good father of the family, to properly equip and protect its workforce from the threats of COVID-19 considering that the country, at that time, was officially under a “State of National Health Emergency” and after a few days, a “State of National Calamity” was declared under Proclamation No. 929, s. 2020.</w:t>
      </w:r>
    </w:p>
    <w:p>
      <w:pPr>
        <w:pStyle w:val="ListParagraph"/>
        <w:ind w:left="1800"/>
        <w:jc w:val="both"/>
        <w:rPr>
          <w:rFonts w:ascii="Arial" w:hAnsi="Arial" w:cs="Arial"/>
          <w:iCs/>
          <w:sz w:val="22"/>
          <w:szCs w:val="22"/>
        </w:rPr>
      </w:pPr>
    </w:p>
    <w:p>
      <w:pPr>
        <w:pStyle w:val="ListParagraph"/>
        <w:numPr>
          <w:ilvl w:val="7"/>
          <w:numId w:val="12"/>
        </w:numPr>
        <w:ind w:left="1985" w:hanging="567"/>
        <w:jc w:val="both"/>
        <w:rPr>
          <w:rFonts w:ascii="Arial" w:hAnsi="Arial" w:cs="Arial"/>
          <w:iCs/>
          <w:color w:val="000000" w:themeColor="text1"/>
          <w:sz w:val="22"/>
          <w:szCs w:val="22"/>
        </w:rPr>
      </w:pPr>
      <w:r>
        <w:rPr>
          <w:rFonts w:ascii="Arial" w:eastAsiaTheme="minorHAnsi" w:hAnsi="Arial" w:cs="Arial"/>
          <w:color w:val="000000" w:themeColor="text1"/>
          <w:sz w:val="22"/>
          <w:szCs w:val="22"/>
        </w:rPr>
        <w:t xml:space="preserve">While the audit observation specifically mentioned Section 3 of RA No. 11469, it must be remembered that this law was promulgated for reasons, among others to “promote and protect the collective interests of </w:t>
      </w:r>
      <w:r>
        <w:rPr>
          <w:rFonts w:ascii="Arial" w:eastAsiaTheme="minorHAnsi" w:hAnsi="Arial" w:cs="Arial"/>
          <w:color w:val="000000" w:themeColor="text1"/>
          <w:sz w:val="22"/>
          <w:szCs w:val="22"/>
          <w:u w:val="single"/>
        </w:rPr>
        <w:t>all Filipinos</w:t>
      </w:r>
      <w:r>
        <w:rPr>
          <w:rFonts w:ascii="Arial" w:eastAsiaTheme="minorHAnsi" w:hAnsi="Arial" w:cs="Arial"/>
          <w:color w:val="000000" w:themeColor="text1"/>
          <w:sz w:val="22"/>
          <w:szCs w:val="22"/>
        </w:rPr>
        <w:t xml:space="preserve"> in these challenging times.”</w:t>
      </w:r>
      <w:r>
        <w:rPr>
          <w:rStyle w:val="FootnoteReference"/>
          <w:rFonts w:ascii="Arial" w:eastAsiaTheme="minorHAnsi" w:hAnsi="Arial" w:cs="Arial"/>
          <w:color w:val="000000" w:themeColor="text1"/>
          <w:sz w:val="22"/>
          <w:szCs w:val="22"/>
        </w:rPr>
        <w:footnoteReference w:id="1"/>
      </w:r>
      <w:r>
        <w:rPr>
          <w:rFonts w:ascii="Arial" w:eastAsiaTheme="minorHAnsi" w:hAnsi="Arial" w:cs="Arial"/>
          <w:color w:val="000000" w:themeColor="text1"/>
          <w:sz w:val="22"/>
          <w:szCs w:val="22"/>
        </w:rPr>
        <w:t xml:space="preserve"> The term “especially indigents and their families” should not be construed to be limiting only to these groups in the grant of assistance.</w:t>
      </w:r>
    </w:p>
    <w:p>
      <w:pPr>
        <w:pStyle w:val="ListParagraph"/>
        <w:ind w:left="1800"/>
        <w:jc w:val="both"/>
        <w:rPr>
          <w:rFonts w:ascii="Arial" w:hAnsi="Arial" w:cs="Arial"/>
          <w:iCs/>
          <w:sz w:val="22"/>
          <w:szCs w:val="22"/>
        </w:rPr>
      </w:pPr>
    </w:p>
    <w:p>
      <w:pPr>
        <w:pStyle w:val="ListParagraph"/>
        <w:numPr>
          <w:ilvl w:val="7"/>
          <w:numId w:val="12"/>
        </w:numPr>
        <w:ind w:left="1985" w:hanging="567"/>
        <w:jc w:val="both"/>
        <w:rPr>
          <w:rFonts w:ascii="Arial" w:hAnsi="Arial" w:cs="Arial"/>
          <w:iCs/>
          <w:sz w:val="22"/>
          <w:szCs w:val="22"/>
        </w:rPr>
      </w:pPr>
      <w:r>
        <w:rPr>
          <w:rFonts w:ascii="Arial" w:hAnsi="Arial" w:cs="Arial"/>
          <w:color w:val="000000" w:themeColor="text1"/>
          <w:sz w:val="22"/>
          <w:szCs w:val="22"/>
          <w:shd w:val="clear" w:color="auto" w:fill="FFFFFF"/>
        </w:rPr>
        <w:t>The grant of the financial assistance was justified by the uncertainty and imminent threat that COVID-19 posed against the health, well-being, and economic conditions of the PCSO officials and personnel, and their dependents. It bears stressing that during this period, it was difficult for the Agency to immediately procure face masks, face shields or other protective supplies and equipment to provide for the employees.</w:t>
      </w:r>
    </w:p>
    <w:p>
      <w:pPr>
        <w:spacing w:after="0" w:line="240" w:lineRule="auto"/>
        <w:jc w:val="both"/>
        <w:rPr>
          <w:rFonts w:ascii="Arial" w:eastAsia="Times New Roman" w:hAnsi="Arial" w:cs="Arial"/>
          <w:b/>
          <w:iCs/>
          <w:lang w:val="en-US"/>
        </w:rPr>
      </w:pPr>
    </w:p>
    <w:p>
      <w:pPr>
        <w:pStyle w:val="ListParagraph"/>
        <w:numPr>
          <w:ilvl w:val="1"/>
          <w:numId w:val="25"/>
        </w:numPr>
        <w:ind w:left="1418" w:hanging="709"/>
        <w:jc w:val="both"/>
        <w:rPr>
          <w:rFonts w:ascii="Arial" w:hAnsi="Arial" w:cs="Arial"/>
          <w:b/>
          <w:iCs/>
        </w:rPr>
      </w:pPr>
      <w:r>
        <w:rPr>
          <w:rFonts w:ascii="Arial" w:hAnsi="Arial" w:cs="Arial"/>
          <w:iCs/>
          <w:sz w:val="22"/>
          <w:szCs w:val="22"/>
        </w:rPr>
        <w:t xml:space="preserve">As a rejoinder, the Audit Team maintains its stand that the financial assistance granted to the </w:t>
      </w:r>
      <w:r>
        <w:rPr>
          <w:rFonts w:ascii="Arial" w:hAnsi="Arial" w:cs="Arial"/>
          <w:iCs/>
          <w:color w:val="000000" w:themeColor="text1"/>
          <w:sz w:val="22"/>
          <w:szCs w:val="22"/>
        </w:rPr>
        <w:t>PCSO officials, employees, BOD, JO workers and CAs was bereft of legal basis since it was given without authority from the OP.</w:t>
      </w:r>
    </w:p>
    <w:p>
      <w:pPr>
        <w:spacing w:after="0" w:line="240" w:lineRule="auto"/>
        <w:jc w:val="both"/>
        <w:rPr>
          <w:rFonts w:ascii="Arial" w:hAnsi="Arial" w:cs="Arial"/>
          <w:b/>
          <w:iCs/>
        </w:rPr>
      </w:pPr>
    </w:p>
    <w:p>
      <w:pPr>
        <w:spacing w:after="0" w:line="240" w:lineRule="auto"/>
        <w:jc w:val="both"/>
        <w:rPr>
          <w:rFonts w:ascii="Arial" w:hAnsi="Arial" w:cs="Arial"/>
          <w:b/>
          <w:iCs/>
        </w:rPr>
      </w:pPr>
    </w:p>
    <w:p>
      <w:pPr>
        <w:spacing w:after="0" w:line="240" w:lineRule="auto"/>
        <w:jc w:val="both"/>
        <w:rPr>
          <w:rFonts w:ascii="Arial" w:hAnsi="Arial" w:cs="Arial"/>
          <w:b/>
          <w:iCs/>
        </w:rPr>
      </w:pPr>
    </w:p>
    <w:p>
      <w:pPr>
        <w:pStyle w:val="ListParagraph"/>
        <w:numPr>
          <w:ilvl w:val="0"/>
          <w:numId w:val="6"/>
        </w:numPr>
        <w:ind w:left="720" w:hanging="720"/>
        <w:jc w:val="both"/>
        <w:rPr>
          <w:rFonts w:ascii="Arial" w:hAnsi="Arial" w:cs="Arial"/>
          <w:b/>
          <w:iCs/>
          <w:color w:val="000000" w:themeColor="text1"/>
          <w:sz w:val="22"/>
          <w:szCs w:val="22"/>
        </w:rPr>
      </w:pPr>
      <w:r>
        <w:rPr>
          <w:rFonts w:ascii="Arial" w:hAnsi="Arial" w:cs="Arial"/>
          <w:b/>
          <w:iCs/>
          <w:color w:val="000000" w:themeColor="text1"/>
          <w:sz w:val="22"/>
          <w:szCs w:val="22"/>
        </w:rPr>
        <w:lastRenderedPageBreak/>
        <w:t>The granting of COVID-19 Hazard Pay in the total amount of P5.335 million to PCSO officers, employees, JOs and CAs, disclosed the following deficiencies:</w:t>
      </w:r>
    </w:p>
    <w:p>
      <w:pPr>
        <w:pStyle w:val="ListParagraph"/>
        <w:jc w:val="both"/>
        <w:rPr>
          <w:rFonts w:ascii="Arial" w:hAnsi="Arial" w:cs="Arial"/>
          <w:b/>
          <w:iCs/>
          <w:color w:val="000000" w:themeColor="text1"/>
          <w:sz w:val="22"/>
          <w:szCs w:val="22"/>
        </w:rPr>
      </w:pPr>
    </w:p>
    <w:p>
      <w:pPr>
        <w:pStyle w:val="ListParagraph"/>
        <w:numPr>
          <w:ilvl w:val="0"/>
          <w:numId w:val="14"/>
        </w:numPr>
        <w:tabs>
          <w:tab w:val="left" w:pos="1418"/>
        </w:tabs>
        <w:ind w:left="1440" w:hanging="720"/>
        <w:jc w:val="both"/>
        <w:rPr>
          <w:rFonts w:ascii="Arial" w:hAnsi="Arial" w:cs="Arial"/>
          <w:b/>
          <w:iCs/>
          <w:color w:val="000000" w:themeColor="text1"/>
          <w:sz w:val="22"/>
          <w:szCs w:val="22"/>
        </w:rPr>
      </w:pPr>
      <w:r>
        <w:rPr>
          <w:rFonts w:ascii="Arial" w:hAnsi="Arial" w:cs="Arial"/>
          <w:b/>
          <w:iCs/>
          <w:color w:val="000000" w:themeColor="text1"/>
          <w:sz w:val="22"/>
          <w:szCs w:val="22"/>
        </w:rPr>
        <w:t>The COVID-19 Hazard Pay given to various recipients totaling P4.587 million was not supported with the written authority from the Head of the Agency/Office to physically report for work at their respective offices or work stations on the prescribed working hours, contrary to Section 4.3 of DBM Budget Circular (BC) No. 2020-1 dated March 24, 2020;</w:t>
      </w:r>
    </w:p>
    <w:p>
      <w:pPr>
        <w:pStyle w:val="ListParagraph"/>
        <w:tabs>
          <w:tab w:val="left" w:pos="1418"/>
        </w:tabs>
        <w:ind w:left="1440"/>
        <w:jc w:val="both"/>
        <w:rPr>
          <w:rFonts w:ascii="Arial" w:hAnsi="Arial" w:cs="Arial"/>
          <w:b/>
          <w:iCs/>
          <w:color w:val="000000" w:themeColor="text1"/>
          <w:sz w:val="22"/>
          <w:szCs w:val="22"/>
        </w:rPr>
      </w:pPr>
    </w:p>
    <w:p>
      <w:pPr>
        <w:pStyle w:val="ListParagraph"/>
        <w:numPr>
          <w:ilvl w:val="0"/>
          <w:numId w:val="14"/>
        </w:numPr>
        <w:tabs>
          <w:tab w:val="left" w:pos="1418"/>
        </w:tabs>
        <w:ind w:left="1440" w:hanging="720"/>
        <w:jc w:val="both"/>
        <w:rPr>
          <w:rFonts w:ascii="Arial" w:hAnsi="Arial" w:cs="Arial"/>
          <w:b/>
          <w:iCs/>
          <w:color w:val="000000" w:themeColor="text1"/>
          <w:sz w:val="22"/>
          <w:szCs w:val="22"/>
        </w:rPr>
      </w:pPr>
      <w:r>
        <w:rPr>
          <w:rFonts w:ascii="Arial" w:hAnsi="Arial" w:cs="Arial"/>
          <w:b/>
          <w:iCs/>
          <w:color w:val="000000" w:themeColor="text1"/>
          <w:sz w:val="22"/>
          <w:szCs w:val="22"/>
        </w:rPr>
        <w:t>Out of the P4.587 milion disbursements for Hazard Pay, P1.074 million were paid to recipients who lacked concrete proof of actual physical presence in the workplace during the Enhanced Community Quarantine (ECQ) and Modified ECQ (MECQ); and</w:t>
      </w:r>
    </w:p>
    <w:p>
      <w:pPr>
        <w:pStyle w:val="ListParagraph"/>
        <w:tabs>
          <w:tab w:val="left" w:pos="1418"/>
        </w:tabs>
        <w:rPr>
          <w:rFonts w:ascii="Arial" w:hAnsi="Arial" w:cs="Arial"/>
          <w:b/>
          <w:iCs/>
          <w:color w:val="000000" w:themeColor="text1"/>
          <w:sz w:val="22"/>
          <w:szCs w:val="22"/>
        </w:rPr>
      </w:pPr>
    </w:p>
    <w:p>
      <w:pPr>
        <w:pStyle w:val="ListParagraph"/>
        <w:numPr>
          <w:ilvl w:val="0"/>
          <w:numId w:val="14"/>
        </w:numPr>
        <w:tabs>
          <w:tab w:val="left" w:pos="1418"/>
        </w:tabs>
        <w:ind w:left="1440" w:hanging="720"/>
        <w:jc w:val="both"/>
        <w:rPr>
          <w:rFonts w:ascii="Arial" w:hAnsi="Arial" w:cs="Arial"/>
          <w:b/>
          <w:iCs/>
          <w:color w:val="000000" w:themeColor="text1"/>
          <w:sz w:val="22"/>
          <w:szCs w:val="22"/>
        </w:rPr>
      </w:pPr>
      <w:r>
        <w:rPr>
          <w:rFonts w:ascii="Arial" w:hAnsi="Arial" w:cs="Arial"/>
          <w:b/>
          <w:iCs/>
          <w:color w:val="000000" w:themeColor="text1"/>
          <w:sz w:val="22"/>
          <w:szCs w:val="22"/>
        </w:rPr>
        <w:t>Payment of COVID-19 Hazard Pay amounting to P236,000 was inconsistent with the guidelines and conditions set forth under  Sections 4.4 and 4.5 of DBM BC No. 2020-1, resulting in overpayment by the same amount.</w:t>
      </w:r>
    </w:p>
    <w:p>
      <w:pPr>
        <w:pStyle w:val="ListParagraph"/>
        <w:rPr>
          <w:rFonts w:ascii="Arial" w:hAnsi="Arial" w:cs="Arial"/>
          <w:b/>
          <w:iCs/>
          <w:sz w:val="22"/>
          <w:szCs w:val="22"/>
        </w:rPr>
      </w:pPr>
    </w:p>
    <w:p>
      <w:pPr>
        <w:pStyle w:val="ListParagraph"/>
        <w:ind w:right="2970"/>
        <w:jc w:val="both"/>
        <w:rPr>
          <w:rFonts w:ascii="Arial" w:hAnsi="Arial" w:cs="Arial"/>
          <w:i/>
          <w:iCs/>
          <w:color w:val="000000" w:themeColor="text1"/>
          <w:sz w:val="22"/>
          <w:szCs w:val="22"/>
        </w:rPr>
      </w:pPr>
      <w:r>
        <w:rPr>
          <w:rFonts w:ascii="Arial" w:hAnsi="Arial" w:cs="Arial"/>
          <w:i/>
          <w:iCs/>
          <w:color w:val="000000" w:themeColor="text1"/>
          <w:sz w:val="22"/>
          <w:szCs w:val="22"/>
        </w:rPr>
        <w:t>The COVID-19 Hazard Pay given to various recipients totaling P4.587 million was not supported with the written authority from the Head of the Agency/Office to physically report for work at their respective offices or work stations on the prescribed working hours, contrary to Section 4.3 of DBM BC No. 2020-1 dated March 24, 2020 and Section 4(5) of PD No. 1445</w:t>
      </w:r>
    </w:p>
    <w:p>
      <w:pPr>
        <w:pStyle w:val="ListParagraph"/>
        <w:rPr>
          <w:rFonts w:ascii="Arial" w:hAnsi="Arial" w:cs="Arial"/>
          <w:iCs/>
          <w:sz w:val="22"/>
          <w:szCs w:val="22"/>
        </w:rPr>
      </w:pPr>
    </w:p>
    <w:p>
      <w:pPr>
        <w:pStyle w:val="ListParagraph"/>
        <w:numPr>
          <w:ilvl w:val="1"/>
          <w:numId w:val="26"/>
        </w:numPr>
        <w:ind w:left="1418" w:hanging="709"/>
        <w:jc w:val="both"/>
        <w:rPr>
          <w:rFonts w:ascii="Arial" w:hAnsi="Arial" w:cs="Arial"/>
          <w:iCs/>
          <w:color w:val="000000" w:themeColor="text1"/>
          <w:sz w:val="22"/>
          <w:szCs w:val="22"/>
        </w:rPr>
      </w:pPr>
      <w:r>
        <w:rPr>
          <w:rFonts w:ascii="Arial" w:hAnsi="Arial" w:cs="Arial"/>
          <w:iCs/>
          <w:color w:val="000000" w:themeColor="text1"/>
          <w:sz w:val="22"/>
          <w:szCs w:val="22"/>
        </w:rPr>
        <w:t>Administrative Order (AO) No. 26 dated March 23, 2020 authorizes the grant of Hazard Pay to government personnel occupying regular, contractual or casual positions, or are engaged through contract of service (COS) or job order basis who physically report for work during the implementation of an ECQ relative to the COVID-19 outbreak.</w:t>
      </w:r>
    </w:p>
    <w:p>
      <w:pPr>
        <w:pStyle w:val="ListParagraph"/>
        <w:ind w:left="1440"/>
        <w:jc w:val="both"/>
        <w:rPr>
          <w:rFonts w:ascii="Arial" w:hAnsi="Arial" w:cs="Arial"/>
          <w:iCs/>
          <w:sz w:val="22"/>
          <w:szCs w:val="22"/>
        </w:rPr>
      </w:pPr>
    </w:p>
    <w:p>
      <w:pPr>
        <w:pStyle w:val="ListParagraph"/>
        <w:numPr>
          <w:ilvl w:val="1"/>
          <w:numId w:val="26"/>
        </w:numPr>
        <w:ind w:left="1418" w:hanging="709"/>
        <w:jc w:val="both"/>
        <w:rPr>
          <w:rFonts w:ascii="Arial" w:hAnsi="Arial" w:cs="Arial"/>
          <w:iCs/>
          <w:sz w:val="22"/>
          <w:szCs w:val="22"/>
        </w:rPr>
      </w:pPr>
      <w:r>
        <w:rPr>
          <w:rFonts w:ascii="Arial" w:hAnsi="Arial" w:cs="Arial"/>
          <w:iCs/>
          <w:sz w:val="22"/>
          <w:szCs w:val="22"/>
        </w:rPr>
        <w:t xml:space="preserve">Accordingly, DBM BC No. 2020-1 dated March 24, 2020 was issued to prescribe the guidelines in the implementation of the said AO.  Section 4.0 thereof states: </w:t>
      </w:r>
    </w:p>
    <w:p>
      <w:pPr>
        <w:pStyle w:val="ListParagraph"/>
        <w:rPr>
          <w:rFonts w:ascii="Arial" w:hAnsi="Arial" w:cs="Arial"/>
          <w:iCs/>
          <w:sz w:val="22"/>
          <w:szCs w:val="22"/>
        </w:rPr>
      </w:pPr>
    </w:p>
    <w:p>
      <w:pPr>
        <w:pStyle w:val="ListParagraph"/>
        <w:ind w:left="1985" w:right="691"/>
        <w:jc w:val="both"/>
        <w:rPr>
          <w:rFonts w:ascii="Arial" w:hAnsi="Arial" w:cs="Arial"/>
          <w:i/>
          <w:color w:val="000000" w:themeColor="text1"/>
          <w:sz w:val="22"/>
          <w:szCs w:val="22"/>
        </w:rPr>
      </w:pPr>
      <w:r>
        <w:rPr>
          <w:rFonts w:ascii="Arial" w:hAnsi="Arial" w:cs="Arial"/>
          <w:i/>
          <w:color w:val="000000" w:themeColor="text1"/>
          <w:sz w:val="22"/>
          <w:szCs w:val="22"/>
        </w:rPr>
        <w:t>The heads of government agencies may grant the COVID 19 Hazard Pay to their personnel/workers without the need for further approval by the DBM, subject to the following guidelines and conditions:</w:t>
      </w:r>
    </w:p>
    <w:p>
      <w:pPr>
        <w:pStyle w:val="ListParagraph"/>
        <w:ind w:left="1985"/>
        <w:rPr>
          <w:rFonts w:ascii="Arial" w:hAnsi="Arial" w:cs="Arial"/>
          <w:i/>
          <w:iCs/>
          <w:color w:val="000000" w:themeColor="text1"/>
          <w:sz w:val="22"/>
          <w:szCs w:val="22"/>
        </w:rPr>
      </w:pPr>
    </w:p>
    <w:p>
      <w:pPr>
        <w:pStyle w:val="ListParagraph"/>
        <w:ind w:left="1985"/>
        <w:jc w:val="both"/>
        <w:rPr>
          <w:rFonts w:ascii="Arial" w:hAnsi="Arial" w:cs="Arial"/>
          <w:i/>
          <w:iCs/>
          <w:color w:val="000000" w:themeColor="text1"/>
          <w:sz w:val="22"/>
          <w:szCs w:val="22"/>
        </w:rPr>
      </w:pPr>
      <w:r>
        <w:rPr>
          <w:rFonts w:ascii="Arial" w:hAnsi="Arial" w:cs="Arial"/>
          <w:i/>
          <w:iCs/>
          <w:color w:val="000000" w:themeColor="text1"/>
          <w:sz w:val="22"/>
          <w:szCs w:val="22"/>
        </w:rPr>
        <w:t>Xxxx</w:t>
      </w:r>
    </w:p>
    <w:p>
      <w:pPr>
        <w:pStyle w:val="ListParagraph"/>
        <w:ind w:left="1985"/>
        <w:jc w:val="both"/>
        <w:rPr>
          <w:rFonts w:ascii="Arial" w:hAnsi="Arial" w:cs="Arial"/>
          <w:i/>
          <w:iCs/>
          <w:color w:val="000000" w:themeColor="text1"/>
          <w:sz w:val="22"/>
          <w:szCs w:val="22"/>
        </w:rPr>
      </w:pPr>
    </w:p>
    <w:p>
      <w:pPr>
        <w:pStyle w:val="ListParagraph"/>
        <w:ind w:left="2552" w:right="691" w:hanging="567"/>
        <w:jc w:val="both"/>
        <w:rPr>
          <w:rFonts w:ascii="Arial" w:hAnsi="Arial" w:cs="Arial"/>
          <w:i/>
          <w:iCs/>
          <w:sz w:val="22"/>
          <w:szCs w:val="22"/>
        </w:rPr>
      </w:pPr>
      <w:r>
        <w:rPr>
          <w:rFonts w:ascii="Arial" w:hAnsi="Arial" w:cs="Arial"/>
          <w:i/>
          <w:iCs/>
          <w:color w:val="000000" w:themeColor="text1"/>
          <w:sz w:val="22"/>
          <w:szCs w:val="22"/>
        </w:rPr>
        <w:t xml:space="preserve">4.3  The   personnel/workers have been authorized to physically report for work at their respective offices or work stations on the prescribed official working hours by the head of the </w:t>
      </w:r>
      <w:r>
        <w:rPr>
          <w:rFonts w:ascii="Arial" w:hAnsi="Arial" w:cs="Arial"/>
          <w:i/>
          <w:iCs/>
          <w:sz w:val="22"/>
          <w:szCs w:val="22"/>
        </w:rPr>
        <w:t xml:space="preserve">agency/office during the period of </w:t>
      </w:r>
      <w:r>
        <w:rPr>
          <w:rFonts w:ascii="Arial" w:hAnsi="Arial" w:cs="Arial"/>
          <w:i/>
          <w:iCs/>
          <w:sz w:val="22"/>
          <w:szCs w:val="22"/>
        </w:rPr>
        <w:lastRenderedPageBreak/>
        <w:t>implementation of Enhanced Comminity Quarantine measures in the area of such office work station.</w:t>
      </w:r>
    </w:p>
    <w:p>
      <w:pPr>
        <w:spacing w:after="0" w:line="240" w:lineRule="auto"/>
        <w:ind w:right="691"/>
        <w:jc w:val="both"/>
        <w:rPr>
          <w:rFonts w:ascii="Arial" w:hAnsi="Arial" w:cs="Arial"/>
          <w:i/>
          <w:iCs/>
        </w:rPr>
      </w:pPr>
    </w:p>
    <w:p>
      <w:pPr>
        <w:pStyle w:val="ListParagraph"/>
        <w:numPr>
          <w:ilvl w:val="1"/>
          <w:numId w:val="26"/>
        </w:numPr>
        <w:ind w:left="1418" w:hanging="709"/>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 xml:space="preserve">Verfication of the documents submitted to support the payment of the COVID-19 Hazard Pay disclosed the absence of </w:t>
      </w:r>
      <w:r>
        <w:rPr>
          <w:rFonts w:ascii="Arial" w:hAnsi="Arial" w:cs="Arial"/>
          <w:iCs/>
          <w:color w:val="000000" w:themeColor="text1"/>
          <w:sz w:val="22"/>
          <w:szCs w:val="22"/>
        </w:rPr>
        <w:t>written authority from the Head of the Agency/Office to physically report for work at their respective offices or work stations on the prescribed working hours, contrary to Section 4.3 of DBM BC No. 2020-1.</w:t>
      </w:r>
    </w:p>
    <w:p>
      <w:pPr>
        <w:pStyle w:val="ListParagraph"/>
        <w:ind w:left="1440"/>
        <w:jc w:val="both"/>
        <w:rPr>
          <w:rFonts w:ascii="Arial" w:hAnsi="Arial" w:cs="Arial"/>
          <w:sz w:val="22"/>
          <w:szCs w:val="22"/>
          <w:lang w:eastAsia="ar-SA"/>
        </w:rPr>
      </w:pPr>
    </w:p>
    <w:p>
      <w:pPr>
        <w:pStyle w:val="ListParagraph"/>
        <w:ind w:left="709" w:right="2970"/>
        <w:jc w:val="both"/>
        <w:rPr>
          <w:rFonts w:ascii="Arial" w:hAnsi="Arial" w:cs="Arial"/>
          <w:i/>
          <w:iCs/>
          <w:color w:val="000000" w:themeColor="text1"/>
          <w:sz w:val="22"/>
          <w:szCs w:val="22"/>
        </w:rPr>
      </w:pPr>
      <w:r>
        <w:rPr>
          <w:rFonts w:ascii="Arial" w:hAnsi="Arial" w:cs="Arial"/>
          <w:i/>
          <w:iCs/>
          <w:color w:val="000000" w:themeColor="text1"/>
          <w:sz w:val="22"/>
          <w:szCs w:val="22"/>
        </w:rPr>
        <w:t>Out of the P4.587 milion disbursements for Hazard Pay, P1.074 million were paid to recipients who lacked concrete proof of actual physical presence in the workplace during the ECQ and MECQ</w:t>
      </w:r>
    </w:p>
    <w:p>
      <w:pPr>
        <w:pStyle w:val="ListParagraph"/>
        <w:ind w:left="1440"/>
        <w:jc w:val="both"/>
        <w:rPr>
          <w:rFonts w:ascii="Arial" w:hAnsi="Arial" w:cs="Arial"/>
          <w:sz w:val="22"/>
          <w:szCs w:val="22"/>
          <w:lang w:eastAsia="ar-SA"/>
        </w:rPr>
      </w:pPr>
    </w:p>
    <w:p>
      <w:pPr>
        <w:pStyle w:val="ListParagraph"/>
        <w:numPr>
          <w:ilvl w:val="1"/>
          <w:numId w:val="26"/>
        </w:numPr>
        <w:ind w:left="1418" w:hanging="709"/>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Section 4(6) of PD No. 1445 provides, “</w:t>
      </w:r>
      <w:r>
        <w:rPr>
          <w:rFonts w:ascii="Arial" w:hAnsi="Arial" w:cs="Arial"/>
          <w:i/>
          <w:color w:val="000000" w:themeColor="text1"/>
          <w:sz w:val="22"/>
          <w:szCs w:val="22"/>
          <w:lang w:eastAsia="ar-SA"/>
        </w:rPr>
        <w:t>Claims against government funds shall be supported with complete documentation.”</w:t>
      </w:r>
    </w:p>
    <w:p>
      <w:pPr>
        <w:pStyle w:val="ListParagraph"/>
        <w:ind w:left="1440"/>
        <w:jc w:val="both"/>
        <w:rPr>
          <w:rFonts w:ascii="Arial" w:hAnsi="Arial" w:cs="Arial"/>
          <w:sz w:val="22"/>
          <w:szCs w:val="22"/>
          <w:lang w:eastAsia="ar-SA"/>
        </w:rPr>
      </w:pPr>
    </w:p>
    <w:p>
      <w:pPr>
        <w:pStyle w:val="ListParagraph"/>
        <w:numPr>
          <w:ilvl w:val="1"/>
          <w:numId w:val="26"/>
        </w:numPr>
        <w:ind w:left="1418" w:hanging="709"/>
        <w:jc w:val="both"/>
        <w:rPr>
          <w:rFonts w:ascii="Arial" w:hAnsi="Arial" w:cs="Arial"/>
          <w:sz w:val="22"/>
          <w:szCs w:val="22"/>
          <w:lang w:eastAsia="ar-SA"/>
        </w:rPr>
      </w:pPr>
      <w:r>
        <w:rPr>
          <w:rFonts w:ascii="Arial" w:hAnsi="Arial" w:cs="Arial"/>
          <w:color w:val="000000" w:themeColor="text1"/>
          <w:sz w:val="22"/>
          <w:szCs w:val="22"/>
          <w:lang w:eastAsia="ar-SA"/>
        </w:rPr>
        <w:t>Examination of the documents supporting the payments of COVID-19 Hazard Pay in the total amount of P1.074 million revealed that P253,000 of which were paid to recipients based on the list of attendance without signature by the concerned department/office head to certify the correctness of the said list.  Likewise, no attendance sheet was submitted by the recipients of  COVID-19 Hazard Pay totaling P820,500.</w:t>
      </w:r>
    </w:p>
    <w:p>
      <w:pPr>
        <w:pStyle w:val="ListParagraph"/>
        <w:ind w:left="1440"/>
        <w:jc w:val="both"/>
        <w:rPr>
          <w:rFonts w:ascii="Arial" w:hAnsi="Arial" w:cs="Arial"/>
          <w:sz w:val="22"/>
          <w:szCs w:val="22"/>
          <w:lang w:eastAsia="ar-SA"/>
        </w:rPr>
      </w:pPr>
    </w:p>
    <w:p>
      <w:pPr>
        <w:pStyle w:val="ListParagraph"/>
        <w:numPr>
          <w:ilvl w:val="1"/>
          <w:numId w:val="26"/>
        </w:numPr>
        <w:ind w:left="1418" w:hanging="709"/>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Considering the absence of the Monthly/Daily Attendance Reports of the concerned employees/officials duly certified by their respective authorized heads during the implementation of ECQ/MECQ, there was no proof that they had physically reported to work, hence, they should have not been allowed to receive the COVID-19 Hazard Pay.</w:t>
      </w:r>
    </w:p>
    <w:p>
      <w:pPr>
        <w:pStyle w:val="ListParagraph"/>
        <w:rPr>
          <w:rFonts w:ascii="Arial" w:hAnsi="Arial" w:cs="Arial"/>
          <w:sz w:val="22"/>
          <w:szCs w:val="22"/>
          <w:lang w:eastAsia="ar-SA"/>
        </w:rPr>
      </w:pPr>
    </w:p>
    <w:p>
      <w:pPr>
        <w:pStyle w:val="ListParagraph"/>
        <w:ind w:right="2970"/>
        <w:jc w:val="both"/>
        <w:rPr>
          <w:rFonts w:ascii="Arial" w:hAnsi="Arial" w:cs="Arial"/>
          <w:i/>
          <w:iCs/>
          <w:color w:val="000000" w:themeColor="text1"/>
          <w:sz w:val="22"/>
          <w:szCs w:val="22"/>
        </w:rPr>
      </w:pPr>
      <w:r>
        <w:rPr>
          <w:rFonts w:ascii="Arial" w:hAnsi="Arial" w:cs="Arial"/>
          <w:i/>
          <w:iCs/>
          <w:color w:val="000000" w:themeColor="text1"/>
          <w:sz w:val="22"/>
          <w:szCs w:val="22"/>
        </w:rPr>
        <w:t>Payment of COVID-19 Hazard Pay amounting to P236,000 was inconsistent with the guidelines and conditions set forth under  Sections 4.4 and 4.5 of DBM BC No. 2020-1, resulting in overpayment by the same amount</w:t>
      </w:r>
    </w:p>
    <w:p>
      <w:pPr>
        <w:pStyle w:val="ListParagraph"/>
        <w:ind w:right="2970"/>
        <w:jc w:val="both"/>
        <w:rPr>
          <w:rFonts w:ascii="Arial" w:hAnsi="Arial" w:cs="Arial"/>
          <w:i/>
          <w:sz w:val="22"/>
          <w:szCs w:val="22"/>
          <w:lang w:eastAsia="ar-SA"/>
        </w:rPr>
      </w:pPr>
    </w:p>
    <w:p>
      <w:pPr>
        <w:pStyle w:val="ListParagraph"/>
        <w:numPr>
          <w:ilvl w:val="1"/>
          <w:numId w:val="26"/>
        </w:numPr>
        <w:ind w:left="1418" w:hanging="709"/>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Sections 4.4 and 4.5 of DBM BC No. 2020-01 dated March 24, 2020, provide the following and conditions for the grant of the COVID-19 Hazard Pay:</w:t>
      </w:r>
    </w:p>
    <w:p>
      <w:pPr>
        <w:pStyle w:val="ListParagraph"/>
        <w:ind w:left="1440"/>
        <w:jc w:val="both"/>
        <w:rPr>
          <w:rFonts w:ascii="Arial" w:hAnsi="Arial" w:cs="Arial"/>
          <w:color w:val="000000" w:themeColor="text1"/>
          <w:sz w:val="22"/>
          <w:szCs w:val="22"/>
          <w:lang w:eastAsia="ar-SA"/>
        </w:rPr>
      </w:pPr>
    </w:p>
    <w:p>
      <w:pPr>
        <w:pStyle w:val="ListParagraph"/>
        <w:ind w:left="2552" w:right="691" w:hanging="567"/>
        <w:jc w:val="both"/>
        <w:rPr>
          <w:rFonts w:ascii="Arial" w:hAnsi="Arial" w:cs="Arial"/>
          <w:i/>
          <w:color w:val="000000" w:themeColor="text1"/>
          <w:sz w:val="22"/>
          <w:szCs w:val="22"/>
          <w:lang w:eastAsia="ar-SA"/>
        </w:rPr>
      </w:pPr>
      <w:r>
        <w:rPr>
          <w:rFonts w:ascii="Arial" w:hAnsi="Arial" w:cs="Arial"/>
          <w:i/>
          <w:color w:val="000000" w:themeColor="text1"/>
          <w:sz w:val="22"/>
          <w:szCs w:val="22"/>
          <w:lang w:eastAsia="ar-SA"/>
        </w:rPr>
        <w:t xml:space="preserve">4.4  </w:t>
      </w:r>
      <w:r>
        <w:rPr>
          <w:rFonts w:ascii="Arial" w:hAnsi="Arial" w:cs="Arial"/>
          <w:i/>
          <w:color w:val="000000" w:themeColor="text1"/>
          <w:sz w:val="22"/>
          <w:szCs w:val="22"/>
          <w:lang w:eastAsia="ar-SA"/>
        </w:rPr>
        <w:tab/>
        <w:t>The total rate of the COVID-19 Hazard Pay shall be based on the number of  days an employee/worker physically reports for work during the Enhanced Comminity Quarantine period using the formula under Item 4.1 hereof.</w:t>
      </w:r>
    </w:p>
    <w:p>
      <w:pPr>
        <w:pStyle w:val="ListParagraph"/>
        <w:ind w:left="2552" w:right="691" w:hanging="567"/>
        <w:jc w:val="both"/>
        <w:rPr>
          <w:rFonts w:ascii="Arial" w:hAnsi="Arial" w:cs="Arial"/>
          <w:i/>
          <w:color w:val="000000" w:themeColor="text1"/>
          <w:sz w:val="22"/>
          <w:szCs w:val="22"/>
          <w:lang w:eastAsia="ar-SA"/>
        </w:rPr>
      </w:pPr>
    </w:p>
    <w:p>
      <w:pPr>
        <w:pStyle w:val="ListParagraph"/>
        <w:ind w:left="2552" w:right="691" w:hanging="567"/>
        <w:jc w:val="both"/>
        <w:rPr>
          <w:rFonts w:ascii="Arial" w:hAnsi="Arial" w:cs="Arial"/>
          <w:i/>
          <w:color w:val="000000" w:themeColor="text1"/>
          <w:sz w:val="22"/>
          <w:szCs w:val="22"/>
          <w:lang w:eastAsia="ar-SA"/>
        </w:rPr>
      </w:pPr>
      <w:r>
        <w:rPr>
          <w:rFonts w:ascii="Arial" w:hAnsi="Arial" w:cs="Arial"/>
          <w:i/>
          <w:color w:val="000000" w:themeColor="text1"/>
          <w:sz w:val="22"/>
          <w:szCs w:val="22"/>
          <w:lang w:eastAsia="ar-SA"/>
        </w:rPr>
        <w:t xml:space="preserve">4.5  Personnel who are already entitled to Hazard Pay, Hazardous Duty Pay, Hazard Allowance or other similar benefits under existing laws, issuances, rules, and regulations, such as public health workers, public social workers, science and technology personnel, and military </w:t>
      </w:r>
      <w:r>
        <w:rPr>
          <w:rFonts w:ascii="Arial" w:hAnsi="Arial" w:cs="Arial"/>
          <w:i/>
          <w:color w:val="000000" w:themeColor="text1"/>
          <w:sz w:val="22"/>
          <w:szCs w:val="22"/>
          <w:lang w:eastAsia="ar-SA"/>
        </w:rPr>
        <w:lastRenderedPageBreak/>
        <w:t>and uniformed personnel, shall continue to be entitled to such benefits or the COVID-19 Hazard Pay, whichever is higher.</w:t>
      </w:r>
    </w:p>
    <w:p>
      <w:pPr>
        <w:pStyle w:val="ListParagraph"/>
        <w:ind w:left="1710" w:right="691"/>
        <w:jc w:val="both"/>
        <w:rPr>
          <w:rFonts w:ascii="Arial" w:hAnsi="Arial" w:cs="Arial"/>
          <w:i/>
          <w:sz w:val="22"/>
          <w:szCs w:val="22"/>
          <w:lang w:eastAsia="ar-SA"/>
        </w:rPr>
      </w:pPr>
    </w:p>
    <w:p>
      <w:pPr>
        <w:pStyle w:val="ListParagraph"/>
        <w:numPr>
          <w:ilvl w:val="1"/>
          <w:numId w:val="26"/>
        </w:numPr>
        <w:ind w:left="1418" w:hanging="709"/>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Examination of the attendance report/list of attendance duly certified or approved by the departments/office/unit heads revealed that COVID-19 Hazard Pay in the total amount of P157,500 was paid to PCSO personnel who reported to their work stations despite the community quarantine was already shifted to General Community Quarantine (GCQ), hence, inconsistent with the condition under Section 4.4 of DBM BC No. 2020-01.</w:t>
      </w:r>
    </w:p>
    <w:p>
      <w:pPr>
        <w:pStyle w:val="ListParagraph"/>
        <w:ind w:left="1440"/>
        <w:jc w:val="both"/>
        <w:rPr>
          <w:rFonts w:ascii="Arial" w:hAnsi="Arial" w:cs="Arial"/>
          <w:sz w:val="22"/>
          <w:szCs w:val="22"/>
          <w:lang w:eastAsia="ar-SA"/>
        </w:rPr>
      </w:pPr>
      <w:r>
        <w:rPr>
          <w:rFonts w:ascii="Arial" w:hAnsi="Arial" w:cs="Arial"/>
          <w:sz w:val="22"/>
          <w:szCs w:val="22"/>
          <w:lang w:eastAsia="ar-SA"/>
        </w:rPr>
        <w:t xml:space="preserve"> </w:t>
      </w:r>
    </w:p>
    <w:p>
      <w:pPr>
        <w:pStyle w:val="ListParagraph"/>
        <w:numPr>
          <w:ilvl w:val="1"/>
          <w:numId w:val="26"/>
        </w:numPr>
        <w:ind w:left="1418" w:hanging="709"/>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It was also noted that a total amount of P54,000 COVID-19 Hazard Pay was granted to certain personnel who were on work from home (WFH) arrangement or did not physically report to their work stations per validation of the submitted Monthly Attendance Reports.  Likewise, examination of the submitted list of attendance, duly signed/certified by the respective department/office/unit heads, revealed discrepancies between the number of days the personnel had reported to work vis-a-vis the amount of COVID-19 Hazard Pay actually granted to them, resulting in an overpayment of P24,500.</w:t>
      </w:r>
    </w:p>
    <w:p>
      <w:pPr>
        <w:spacing w:after="0" w:line="240" w:lineRule="auto"/>
        <w:jc w:val="both"/>
        <w:rPr>
          <w:rFonts w:ascii="Arial" w:hAnsi="Arial" w:cs="Arial"/>
          <w:lang w:eastAsia="ar-SA"/>
        </w:rPr>
      </w:pPr>
    </w:p>
    <w:p>
      <w:pPr>
        <w:pStyle w:val="ListParagraph"/>
        <w:numPr>
          <w:ilvl w:val="1"/>
          <w:numId w:val="26"/>
        </w:numPr>
        <w:ind w:left="1418" w:hanging="709"/>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Considering that the payments of COVID-19 Hazard Pay totaling P236,000 were inconsistent with the guidelines set under DBM BC No. 2020-01, concerned employees should have not been paid accordingly and this would tantamount to overpayment of Hazard Pay.</w:t>
      </w:r>
    </w:p>
    <w:p>
      <w:pPr>
        <w:pStyle w:val="ListParagraph"/>
        <w:ind w:left="1440"/>
        <w:jc w:val="both"/>
        <w:rPr>
          <w:rFonts w:ascii="Arial" w:hAnsi="Arial" w:cs="Arial"/>
          <w:b/>
          <w:color w:val="FF0000"/>
          <w:lang w:eastAsia="ar-SA"/>
        </w:rPr>
      </w:pPr>
    </w:p>
    <w:p>
      <w:pPr>
        <w:pStyle w:val="ListParagraph"/>
        <w:numPr>
          <w:ilvl w:val="1"/>
          <w:numId w:val="26"/>
        </w:numPr>
        <w:ind w:left="1418" w:hanging="709"/>
        <w:jc w:val="both"/>
        <w:rPr>
          <w:rFonts w:ascii="Arial" w:hAnsi="Arial" w:cs="Arial"/>
          <w:b/>
          <w:sz w:val="22"/>
          <w:szCs w:val="22"/>
        </w:rPr>
      </w:pPr>
      <w:r>
        <w:rPr>
          <w:rFonts w:ascii="Arial" w:hAnsi="Arial" w:cs="Arial"/>
          <w:b/>
          <w:sz w:val="22"/>
          <w:szCs w:val="22"/>
        </w:rPr>
        <w:t>We recommended that Management:</w:t>
      </w:r>
    </w:p>
    <w:p>
      <w:pPr>
        <w:pStyle w:val="BodyTextIndent"/>
        <w:spacing w:after="0" w:line="240" w:lineRule="auto"/>
        <w:ind w:left="0"/>
        <w:jc w:val="both"/>
        <w:rPr>
          <w:rFonts w:ascii="Arial" w:hAnsi="Arial" w:cs="Arial"/>
          <w:b/>
        </w:rPr>
      </w:pPr>
    </w:p>
    <w:p>
      <w:pPr>
        <w:pStyle w:val="BodyTextIndent"/>
        <w:numPr>
          <w:ilvl w:val="0"/>
          <w:numId w:val="27"/>
        </w:numPr>
        <w:spacing w:after="0" w:line="240" w:lineRule="auto"/>
        <w:ind w:left="1985" w:hanging="567"/>
        <w:jc w:val="both"/>
        <w:rPr>
          <w:rFonts w:ascii="Arial" w:hAnsi="Arial" w:cs="Arial"/>
          <w:b/>
        </w:rPr>
      </w:pPr>
      <w:r>
        <w:rPr>
          <w:rFonts w:ascii="Arial" w:hAnsi="Arial" w:cs="Arial"/>
          <w:b/>
        </w:rPr>
        <w:t>Require the Human Resource Department (HRD) and ABD to submit: (a) written authority from the head of the agency/office of the personnel concerned who physically reported for work at their respective office or work station on the prescribed working hours;</w:t>
      </w:r>
      <w:r>
        <w:rPr>
          <w:rFonts w:ascii="Arial" w:hAnsi="Arial" w:cs="Arial"/>
          <w:b/>
          <w:lang w:val="en-PH" w:eastAsia="en-PH"/>
        </w:rPr>
        <w:t xml:space="preserve"> and (b)</w:t>
      </w:r>
      <w:r>
        <w:rPr>
          <w:rFonts w:ascii="Arial" w:hAnsi="Arial" w:cs="Arial"/>
          <w:b/>
        </w:rPr>
        <w:t xml:space="preserve"> Daily Time Records/proof of attendance, duly approved by the respective department/office/unit head for the recipients of COVID-19 Hazard pay totaling to P1.074 million</w:t>
      </w:r>
      <w:r>
        <w:rPr>
          <w:rFonts w:ascii="Arial" w:hAnsi="Arial" w:cs="Arial"/>
          <w:b/>
          <w:lang w:val="en-PH" w:eastAsia="en-PH"/>
        </w:rPr>
        <w:t>, to avoid issuance of Notice of Suspension.</w:t>
      </w:r>
    </w:p>
    <w:p>
      <w:pPr>
        <w:pStyle w:val="BodyTextIndent"/>
        <w:spacing w:after="0" w:line="240" w:lineRule="auto"/>
        <w:ind w:left="1985" w:hanging="567"/>
        <w:jc w:val="both"/>
        <w:rPr>
          <w:rFonts w:ascii="Arial" w:hAnsi="Arial" w:cs="Arial"/>
          <w:b/>
        </w:rPr>
      </w:pPr>
    </w:p>
    <w:p>
      <w:pPr>
        <w:pStyle w:val="BodyTextIndent"/>
        <w:numPr>
          <w:ilvl w:val="0"/>
          <w:numId w:val="27"/>
        </w:numPr>
        <w:spacing w:after="0" w:line="240" w:lineRule="auto"/>
        <w:ind w:left="1985" w:hanging="567"/>
        <w:jc w:val="both"/>
        <w:rPr>
          <w:rFonts w:ascii="Arial" w:hAnsi="Arial" w:cs="Arial"/>
          <w:b/>
        </w:rPr>
      </w:pPr>
      <w:r>
        <w:rPr>
          <w:rFonts w:ascii="Arial" w:hAnsi="Arial" w:cs="Arial"/>
          <w:b/>
        </w:rPr>
        <w:t>Instruct the personnel concerned who availed of the COVID-19 Hazard Pay amounting to P236,000 to refund the amount received, otherwise a Notice of Disallowance will be issued.</w:t>
      </w:r>
    </w:p>
    <w:p>
      <w:pPr>
        <w:pStyle w:val="ListParagraph"/>
        <w:ind w:left="1418"/>
        <w:jc w:val="both"/>
        <w:rPr>
          <w:rFonts w:ascii="Arial" w:hAnsi="Arial" w:cs="Arial"/>
          <w:sz w:val="22"/>
          <w:szCs w:val="22"/>
          <w:lang w:eastAsia="ar-SA"/>
        </w:rPr>
      </w:pPr>
    </w:p>
    <w:p>
      <w:pPr>
        <w:pStyle w:val="ListParagraph"/>
        <w:numPr>
          <w:ilvl w:val="1"/>
          <w:numId w:val="26"/>
        </w:numPr>
        <w:ind w:left="1418" w:hanging="709"/>
        <w:jc w:val="both"/>
        <w:rPr>
          <w:rFonts w:ascii="Arial" w:hAnsi="Arial" w:cs="Arial"/>
          <w:sz w:val="22"/>
          <w:szCs w:val="22"/>
        </w:rPr>
      </w:pPr>
      <w:r>
        <w:rPr>
          <w:rFonts w:ascii="Arial" w:hAnsi="Arial" w:cs="Arial"/>
          <w:sz w:val="22"/>
          <w:szCs w:val="22"/>
        </w:rPr>
        <w:t>Management commented that all the Departments were requested to submit Monthly Attendance Report (MAR) for reconciliation and verification. Eight Departments have already submitted the MAR showing the names of employees who were required to physically report for work during the ECQ/MECQ.  Also, the list of attendance of personnel that were required to physically report for work during the ECQ/MECQ period duly signed by the concerned personnel and certified by their respective Department Heads will be submitted.</w:t>
      </w:r>
    </w:p>
    <w:p>
      <w:pPr>
        <w:contextualSpacing/>
        <w:jc w:val="both"/>
        <w:rPr>
          <w:rFonts w:ascii="Arial" w:hAnsi="Arial" w:cs="Arial"/>
          <w:b/>
        </w:rPr>
      </w:pPr>
    </w:p>
    <w:p>
      <w:pPr>
        <w:contextualSpacing/>
        <w:jc w:val="both"/>
        <w:rPr>
          <w:rFonts w:ascii="Arial" w:hAnsi="Arial" w:cs="Arial"/>
          <w:b/>
        </w:rPr>
      </w:pPr>
    </w:p>
    <w:p>
      <w:pPr>
        <w:contextualSpacing/>
        <w:jc w:val="both"/>
        <w:rPr>
          <w:rFonts w:ascii="Arial" w:hAnsi="Arial" w:cs="Arial"/>
          <w:b/>
          <w:lang w:eastAsia="ar-SA"/>
        </w:rPr>
      </w:pPr>
      <w:r>
        <w:rPr>
          <w:rFonts w:ascii="Arial" w:hAnsi="Arial" w:cs="Arial"/>
          <w:b/>
        </w:rPr>
        <w:lastRenderedPageBreak/>
        <w:t>COMPLIANCE WITH TAX LAWS</w:t>
      </w:r>
    </w:p>
    <w:p>
      <w:pPr>
        <w:pStyle w:val="ListParagraph"/>
        <w:contextualSpacing/>
        <w:jc w:val="both"/>
        <w:rPr>
          <w:rFonts w:ascii="Arial" w:hAnsi="Arial" w:cs="Arial"/>
          <w:b/>
          <w:lang w:eastAsia="ar-SA"/>
        </w:rPr>
      </w:pPr>
    </w:p>
    <w:p>
      <w:pPr>
        <w:pStyle w:val="ListParagraph"/>
        <w:numPr>
          <w:ilvl w:val="0"/>
          <w:numId w:val="6"/>
        </w:numPr>
        <w:ind w:left="720" w:hanging="720"/>
        <w:jc w:val="both"/>
        <w:rPr>
          <w:rFonts w:ascii="Arial" w:eastAsia="Calibri" w:hAnsi="Arial" w:cs="Arial"/>
          <w:sz w:val="22"/>
          <w:szCs w:val="22"/>
          <w:lang w:val="en-PH"/>
        </w:rPr>
      </w:pPr>
      <w:r>
        <w:rPr>
          <w:rFonts w:ascii="Arial" w:eastAsia="Calibri" w:hAnsi="Arial" w:cs="Arial"/>
          <w:color w:val="000000" w:themeColor="text1"/>
          <w:sz w:val="22"/>
          <w:szCs w:val="22"/>
          <w:lang w:val="en-PH"/>
        </w:rPr>
        <w:t>For the period January to November 2020, PCSO remitted taxes withheld and documentary stamp taxes amounting to P4.244 billion to the Buerau of Internal Revenue (BIR). Likewise, taxes withheld for the month of December 2020 amounting to P817.673 million were remitted to the BIR in January 2021, as shown in Table 17</w:t>
      </w:r>
      <w:r>
        <w:rPr>
          <w:rFonts w:ascii="Arial" w:eastAsia="Calibri" w:hAnsi="Arial" w:cs="Arial"/>
          <w:sz w:val="22"/>
          <w:szCs w:val="22"/>
          <w:lang w:val="en-PH"/>
        </w:rPr>
        <w:t>.</w:t>
      </w:r>
    </w:p>
    <w:p>
      <w:pPr>
        <w:pStyle w:val="ListParagraph"/>
        <w:jc w:val="both"/>
        <w:rPr>
          <w:rFonts w:ascii="Arial" w:eastAsia="Calibri" w:hAnsi="Arial" w:cs="Arial"/>
          <w:sz w:val="22"/>
          <w:szCs w:val="22"/>
          <w:lang w:val="en-PH"/>
        </w:rPr>
      </w:pPr>
    </w:p>
    <w:p>
      <w:pPr>
        <w:pStyle w:val="ListParagraph"/>
        <w:ind w:left="0"/>
        <w:jc w:val="center"/>
        <w:rPr>
          <w:rFonts w:ascii="Arial" w:hAnsi="Arial" w:cs="Arial"/>
          <w:b/>
          <w:sz w:val="20"/>
          <w:szCs w:val="20"/>
        </w:rPr>
      </w:pPr>
      <w:r>
        <w:rPr>
          <w:rFonts w:ascii="Arial" w:hAnsi="Arial" w:cs="Arial"/>
          <w:b/>
          <w:sz w:val="20"/>
          <w:szCs w:val="20"/>
        </w:rPr>
        <w:t>Table 17 –  Remittances of Taxes Withheld in the Month of December 2020</w:t>
      </w:r>
    </w:p>
    <w:p>
      <w:pPr>
        <w:pStyle w:val="ListParagraph"/>
        <w:jc w:val="center"/>
        <w:rPr>
          <w:rFonts w:ascii="Arial" w:hAnsi="Arial" w:cs="Arial"/>
          <w:b/>
          <w:sz w:val="22"/>
          <w:szCs w:val="22"/>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2222"/>
        <w:gridCol w:w="2160"/>
      </w:tblGrid>
      <w:tr>
        <w:trPr>
          <w:trHeight w:val="170"/>
        </w:trPr>
        <w:tc>
          <w:tcPr>
            <w:tcW w:w="4258" w:type="dxa"/>
            <w:tcBorders>
              <w:top w:val="single" w:sz="4" w:space="0" w:color="auto"/>
              <w:bottom w:val="single" w:sz="4" w:space="0" w:color="auto"/>
            </w:tcBorders>
          </w:tcPr>
          <w:p>
            <w:pPr>
              <w:ind w:hanging="79"/>
              <w:rPr>
                <w:rFonts w:ascii="Arial Narrow" w:hAnsi="Arial Narrow" w:cs="Arial"/>
                <w:b/>
                <w:sz w:val="20"/>
                <w:szCs w:val="20"/>
              </w:rPr>
            </w:pPr>
            <w:r>
              <w:rPr>
                <w:rFonts w:ascii="Arial Narrow" w:hAnsi="Arial Narrow" w:cs="Arial"/>
                <w:b/>
                <w:sz w:val="20"/>
                <w:szCs w:val="20"/>
              </w:rPr>
              <w:t>Particulars</w:t>
            </w:r>
          </w:p>
        </w:tc>
        <w:tc>
          <w:tcPr>
            <w:tcW w:w="2222" w:type="dxa"/>
            <w:tcBorders>
              <w:top w:val="single" w:sz="4" w:space="0" w:color="auto"/>
              <w:bottom w:val="single" w:sz="4" w:space="0" w:color="auto"/>
            </w:tcBorders>
          </w:tcPr>
          <w:p>
            <w:pPr>
              <w:jc w:val="right"/>
              <w:rPr>
                <w:rFonts w:ascii="Arial Narrow" w:hAnsi="Arial Narrow" w:cs="Arial"/>
                <w:b/>
                <w:sz w:val="20"/>
                <w:szCs w:val="20"/>
              </w:rPr>
            </w:pPr>
            <w:r>
              <w:rPr>
                <w:rFonts w:ascii="Arial Narrow" w:hAnsi="Arial Narrow" w:cs="Arial"/>
                <w:b/>
                <w:sz w:val="20"/>
                <w:szCs w:val="20"/>
              </w:rPr>
              <w:t>Amount</w:t>
            </w:r>
          </w:p>
        </w:tc>
        <w:tc>
          <w:tcPr>
            <w:tcW w:w="2160" w:type="dxa"/>
            <w:tcBorders>
              <w:top w:val="single" w:sz="4" w:space="0" w:color="auto"/>
              <w:bottom w:val="single" w:sz="4" w:space="0" w:color="auto"/>
            </w:tcBorders>
          </w:tcPr>
          <w:p>
            <w:pPr>
              <w:ind w:right="-113" w:firstLine="360"/>
              <w:jc w:val="right"/>
              <w:rPr>
                <w:rFonts w:ascii="Arial Narrow" w:hAnsi="Arial Narrow" w:cs="Arial"/>
                <w:b/>
                <w:sz w:val="20"/>
                <w:szCs w:val="20"/>
              </w:rPr>
            </w:pPr>
            <w:r>
              <w:rPr>
                <w:rFonts w:ascii="Arial Narrow" w:hAnsi="Arial Narrow" w:cs="Arial"/>
                <w:b/>
                <w:sz w:val="20"/>
                <w:szCs w:val="20"/>
              </w:rPr>
              <w:t>Date Remitted</w:t>
            </w:r>
          </w:p>
        </w:tc>
      </w:tr>
      <w:tr>
        <w:trPr>
          <w:trHeight w:val="197"/>
        </w:trPr>
        <w:tc>
          <w:tcPr>
            <w:tcW w:w="4258" w:type="dxa"/>
            <w:tcBorders>
              <w:top w:val="single" w:sz="4" w:space="0" w:color="auto"/>
            </w:tcBorders>
          </w:tcPr>
          <w:p>
            <w:pPr>
              <w:ind w:hanging="98"/>
              <w:rPr>
                <w:rFonts w:ascii="Arial Narrow" w:hAnsi="Arial Narrow" w:cs="Arial"/>
                <w:sz w:val="20"/>
                <w:szCs w:val="20"/>
              </w:rPr>
            </w:pPr>
            <w:r>
              <w:rPr>
                <w:rFonts w:ascii="Arial Narrow" w:hAnsi="Arial Narrow" w:cs="Arial"/>
                <w:sz w:val="20"/>
                <w:szCs w:val="20"/>
              </w:rPr>
              <w:t>Final Income Taxes Withheld</w:t>
            </w:r>
          </w:p>
        </w:tc>
        <w:tc>
          <w:tcPr>
            <w:tcW w:w="2222" w:type="dxa"/>
            <w:tcBorders>
              <w:top w:val="single" w:sz="4" w:space="0" w:color="auto"/>
            </w:tcBorders>
          </w:tcPr>
          <w:p>
            <w:pPr>
              <w:jc w:val="right"/>
              <w:rPr>
                <w:rFonts w:ascii="Arial Narrow" w:hAnsi="Arial Narrow" w:cs="Arial"/>
                <w:sz w:val="20"/>
                <w:szCs w:val="20"/>
              </w:rPr>
            </w:pPr>
            <w:r>
              <w:rPr>
                <w:rFonts w:ascii="Arial Narrow" w:hAnsi="Arial Narrow" w:cs="Arial"/>
                <w:sz w:val="20"/>
                <w:szCs w:val="20"/>
              </w:rPr>
              <w:t>186,267,174.63</w:t>
            </w:r>
          </w:p>
        </w:tc>
        <w:tc>
          <w:tcPr>
            <w:tcW w:w="2160" w:type="dxa"/>
            <w:tcBorders>
              <w:top w:val="single" w:sz="4" w:space="0" w:color="auto"/>
            </w:tcBorders>
          </w:tcPr>
          <w:p>
            <w:pPr>
              <w:ind w:left="270" w:right="-90"/>
              <w:jc w:val="right"/>
              <w:rPr>
                <w:rFonts w:ascii="Arial Narrow" w:hAnsi="Arial Narrow" w:cs="Arial"/>
                <w:sz w:val="20"/>
                <w:szCs w:val="20"/>
              </w:rPr>
            </w:pPr>
            <w:r>
              <w:rPr>
                <w:rFonts w:ascii="Arial Narrow" w:hAnsi="Arial Narrow" w:cs="Arial"/>
                <w:sz w:val="20"/>
                <w:szCs w:val="20"/>
              </w:rPr>
              <w:t>January 29, 2021</w:t>
            </w:r>
          </w:p>
        </w:tc>
      </w:tr>
      <w:tr>
        <w:trPr>
          <w:trHeight w:val="153"/>
        </w:trPr>
        <w:tc>
          <w:tcPr>
            <w:tcW w:w="4258" w:type="dxa"/>
          </w:tcPr>
          <w:p>
            <w:pPr>
              <w:ind w:hanging="98"/>
              <w:rPr>
                <w:rFonts w:ascii="Arial Narrow" w:hAnsi="Arial Narrow" w:cs="Arial"/>
                <w:sz w:val="20"/>
                <w:szCs w:val="20"/>
              </w:rPr>
            </w:pPr>
            <w:r>
              <w:rPr>
                <w:rFonts w:ascii="Arial Narrow" w:hAnsi="Arial Narrow" w:cs="Arial"/>
                <w:sz w:val="20"/>
                <w:szCs w:val="20"/>
              </w:rPr>
              <w:t>Creditable Income Taxes Withheld (Expanded)</w:t>
            </w:r>
          </w:p>
        </w:tc>
        <w:tc>
          <w:tcPr>
            <w:tcW w:w="2222" w:type="dxa"/>
          </w:tcPr>
          <w:p>
            <w:pPr>
              <w:jc w:val="right"/>
              <w:rPr>
                <w:rFonts w:ascii="Arial Narrow" w:hAnsi="Arial Narrow" w:cs="Arial"/>
                <w:sz w:val="20"/>
                <w:szCs w:val="20"/>
              </w:rPr>
            </w:pPr>
            <w:r>
              <w:rPr>
                <w:rFonts w:ascii="Arial Narrow" w:hAnsi="Arial Narrow" w:cs="Arial"/>
                <w:sz w:val="20"/>
                <w:szCs w:val="20"/>
              </w:rPr>
              <w:t>48,380,216.09</w:t>
            </w:r>
          </w:p>
        </w:tc>
        <w:tc>
          <w:tcPr>
            <w:tcW w:w="2160" w:type="dxa"/>
          </w:tcPr>
          <w:p>
            <w:pPr>
              <w:ind w:left="270" w:right="-90"/>
              <w:jc w:val="right"/>
              <w:rPr>
                <w:rFonts w:ascii="Arial Narrow" w:hAnsi="Arial Narrow" w:cs="Arial"/>
                <w:sz w:val="20"/>
                <w:szCs w:val="20"/>
              </w:rPr>
            </w:pPr>
            <w:r>
              <w:rPr>
                <w:rFonts w:ascii="Arial Narrow" w:hAnsi="Arial Narrow" w:cs="Arial"/>
                <w:sz w:val="20"/>
                <w:szCs w:val="20"/>
              </w:rPr>
              <w:t>January 29, 2021</w:t>
            </w:r>
          </w:p>
        </w:tc>
      </w:tr>
      <w:tr>
        <w:trPr>
          <w:trHeight w:val="189"/>
        </w:trPr>
        <w:tc>
          <w:tcPr>
            <w:tcW w:w="4258" w:type="dxa"/>
          </w:tcPr>
          <w:p>
            <w:pPr>
              <w:ind w:hanging="98"/>
              <w:rPr>
                <w:rFonts w:ascii="Arial Narrow" w:hAnsi="Arial Narrow" w:cs="Arial"/>
                <w:sz w:val="20"/>
                <w:szCs w:val="20"/>
              </w:rPr>
            </w:pPr>
            <w:r>
              <w:rPr>
                <w:rFonts w:ascii="Arial Narrow" w:hAnsi="Arial Narrow" w:cs="Arial"/>
                <w:sz w:val="20"/>
                <w:szCs w:val="20"/>
              </w:rPr>
              <w:t>VAT and Other Percentage Taxes Withheld</w:t>
            </w:r>
          </w:p>
        </w:tc>
        <w:tc>
          <w:tcPr>
            <w:tcW w:w="2222" w:type="dxa"/>
          </w:tcPr>
          <w:p>
            <w:pPr>
              <w:jc w:val="right"/>
              <w:rPr>
                <w:rFonts w:ascii="Arial Narrow" w:hAnsi="Arial Narrow" w:cs="Arial"/>
                <w:sz w:val="20"/>
                <w:szCs w:val="20"/>
              </w:rPr>
            </w:pPr>
            <w:r>
              <w:rPr>
                <w:rFonts w:ascii="Arial Narrow" w:hAnsi="Arial Narrow" w:cs="Arial"/>
                <w:sz w:val="20"/>
                <w:szCs w:val="20"/>
              </w:rPr>
              <w:t>35,485,230.06</w:t>
            </w:r>
          </w:p>
        </w:tc>
        <w:tc>
          <w:tcPr>
            <w:tcW w:w="2160" w:type="dxa"/>
          </w:tcPr>
          <w:p>
            <w:pPr>
              <w:ind w:left="270" w:right="-90"/>
              <w:jc w:val="right"/>
              <w:rPr>
                <w:rFonts w:ascii="Arial Narrow" w:hAnsi="Arial Narrow" w:cs="Arial"/>
                <w:sz w:val="20"/>
                <w:szCs w:val="20"/>
              </w:rPr>
            </w:pPr>
            <w:r>
              <w:rPr>
                <w:rFonts w:ascii="Arial Narrow" w:hAnsi="Arial Narrow" w:cs="Arial"/>
                <w:sz w:val="20"/>
                <w:szCs w:val="20"/>
              </w:rPr>
              <w:t>January 11, 2021</w:t>
            </w:r>
          </w:p>
        </w:tc>
      </w:tr>
      <w:tr>
        <w:trPr>
          <w:trHeight w:val="144"/>
        </w:trPr>
        <w:tc>
          <w:tcPr>
            <w:tcW w:w="4258" w:type="dxa"/>
          </w:tcPr>
          <w:p>
            <w:pPr>
              <w:ind w:hanging="98"/>
              <w:rPr>
                <w:rFonts w:ascii="Arial Narrow" w:hAnsi="Arial Narrow" w:cs="Arial"/>
                <w:sz w:val="20"/>
                <w:szCs w:val="20"/>
              </w:rPr>
            </w:pPr>
            <w:r>
              <w:rPr>
                <w:rFonts w:ascii="Arial Narrow" w:hAnsi="Arial Narrow" w:cs="Arial"/>
                <w:sz w:val="20"/>
                <w:szCs w:val="20"/>
              </w:rPr>
              <w:t>Documentary Stamp Tax</w:t>
            </w:r>
          </w:p>
        </w:tc>
        <w:tc>
          <w:tcPr>
            <w:tcW w:w="2222" w:type="dxa"/>
          </w:tcPr>
          <w:p>
            <w:pPr>
              <w:jc w:val="right"/>
              <w:rPr>
                <w:rFonts w:ascii="Arial Narrow" w:hAnsi="Arial Narrow" w:cs="Arial"/>
                <w:sz w:val="20"/>
                <w:szCs w:val="20"/>
              </w:rPr>
            </w:pPr>
            <w:r>
              <w:rPr>
                <w:rFonts w:ascii="Arial Narrow" w:hAnsi="Arial Narrow" w:cs="Arial"/>
                <w:sz w:val="20"/>
                <w:szCs w:val="20"/>
              </w:rPr>
              <w:t>547,540,114.01</w:t>
            </w:r>
          </w:p>
        </w:tc>
        <w:tc>
          <w:tcPr>
            <w:tcW w:w="2160" w:type="dxa"/>
          </w:tcPr>
          <w:p>
            <w:pPr>
              <w:ind w:left="270" w:right="-90"/>
              <w:jc w:val="center"/>
              <w:rPr>
                <w:rFonts w:ascii="Arial Narrow" w:hAnsi="Arial Narrow" w:cs="Arial"/>
                <w:sz w:val="20"/>
                <w:szCs w:val="20"/>
              </w:rPr>
            </w:pPr>
            <w:r>
              <w:rPr>
                <w:rFonts w:ascii="Arial Narrow" w:hAnsi="Arial Narrow" w:cs="Arial"/>
                <w:sz w:val="20"/>
                <w:szCs w:val="20"/>
              </w:rPr>
              <w:t xml:space="preserve">         January 5, 2021</w:t>
            </w:r>
          </w:p>
        </w:tc>
      </w:tr>
      <w:tr>
        <w:trPr>
          <w:trHeight w:val="170"/>
        </w:trPr>
        <w:tc>
          <w:tcPr>
            <w:tcW w:w="4258" w:type="dxa"/>
            <w:tcBorders>
              <w:top w:val="single" w:sz="4" w:space="0" w:color="auto"/>
              <w:bottom w:val="double" w:sz="4" w:space="0" w:color="auto"/>
            </w:tcBorders>
          </w:tcPr>
          <w:p>
            <w:pPr>
              <w:ind w:hanging="98"/>
              <w:rPr>
                <w:rFonts w:ascii="Arial Narrow" w:hAnsi="Arial Narrow" w:cs="Arial"/>
                <w:b/>
                <w:sz w:val="20"/>
                <w:szCs w:val="20"/>
              </w:rPr>
            </w:pPr>
            <w:r>
              <w:rPr>
                <w:rFonts w:ascii="Arial Narrow" w:hAnsi="Arial Narrow" w:cs="Arial"/>
                <w:b/>
                <w:sz w:val="20"/>
                <w:szCs w:val="20"/>
              </w:rPr>
              <w:t>Total</w:t>
            </w:r>
          </w:p>
        </w:tc>
        <w:tc>
          <w:tcPr>
            <w:tcW w:w="2222" w:type="dxa"/>
            <w:tcBorders>
              <w:top w:val="single" w:sz="4" w:space="0" w:color="auto"/>
              <w:bottom w:val="double" w:sz="4" w:space="0" w:color="auto"/>
            </w:tcBorders>
          </w:tcPr>
          <w:p>
            <w:pPr>
              <w:jc w:val="right"/>
              <w:rPr>
                <w:rFonts w:ascii="Arial Narrow" w:hAnsi="Arial Narrow" w:cs="Arial"/>
                <w:b/>
                <w:sz w:val="20"/>
                <w:szCs w:val="20"/>
              </w:rPr>
            </w:pPr>
            <w:r>
              <w:rPr>
                <w:rFonts w:ascii="Arial Narrow" w:hAnsi="Arial Narrow" w:cs="Arial"/>
                <w:b/>
                <w:sz w:val="20"/>
                <w:szCs w:val="20"/>
              </w:rPr>
              <w:t>817,672,734.79</w:t>
            </w:r>
          </w:p>
        </w:tc>
        <w:tc>
          <w:tcPr>
            <w:tcW w:w="2160" w:type="dxa"/>
            <w:tcBorders>
              <w:top w:val="single" w:sz="4" w:space="0" w:color="auto"/>
              <w:bottom w:val="double" w:sz="4" w:space="0" w:color="auto"/>
            </w:tcBorders>
          </w:tcPr>
          <w:p>
            <w:pPr>
              <w:rPr>
                <w:rFonts w:ascii="Arial Narrow" w:hAnsi="Arial Narrow" w:cs="Arial"/>
                <w:sz w:val="20"/>
                <w:szCs w:val="20"/>
              </w:rPr>
            </w:pPr>
          </w:p>
        </w:tc>
      </w:tr>
    </w:tbl>
    <w:p>
      <w:pPr>
        <w:pStyle w:val="ListParagraph"/>
        <w:contextualSpacing/>
        <w:jc w:val="both"/>
        <w:rPr>
          <w:rFonts w:ascii="Arial" w:hAnsi="Arial" w:cs="Arial"/>
          <w:b/>
          <w:u w:val="single"/>
        </w:rPr>
      </w:pPr>
    </w:p>
    <w:p>
      <w:pPr>
        <w:pStyle w:val="ListParagraph"/>
        <w:contextualSpacing/>
        <w:jc w:val="both"/>
        <w:rPr>
          <w:rFonts w:ascii="Arial" w:hAnsi="Arial" w:cs="Arial"/>
          <w:b/>
          <w:u w:val="single"/>
        </w:rPr>
      </w:pPr>
    </w:p>
    <w:p>
      <w:pPr>
        <w:contextualSpacing/>
        <w:jc w:val="both"/>
        <w:rPr>
          <w:rFonts w:ascii="Arial" w:hAnsi="Arial" w:cs="Arial"/>
          <w:b/>
        </w:rPr>
      </w:pPr>
      <w:r>
        <w:rPr>
          <w:rFonts w:ascii="Arial" w:hAnsi="Arial" w:cs="Arial"/>
          <w:b/>
        </w:rPr>
        <w:t>COMPLIANCE WITH GSIS, PAG-IBIG AND PHILHEALTH DEDUCTIONS AND REMITTANCES</w:t>
      </w:r>
    </w:p>
    <w:p>
      <w:pPr>
        <w:autoSpaceDE w:val="0"/>
        <w:autoSpaceDN w:val="0"/>
        <w:adjustRightInd w:val="0"/>
        <w:spacing w:after="0" w:line="240" w:lineRule="auto"/>
        <w:rPr>
          <w:rFonts w:ascii="Arial" w:hAnsi="Arial" w:cs="Arial"/>
          <w:sz w:val="24"/>
          <w:szCs w:val="24"/>
        </w:rPr>
      </w:pPr>
    </w:p>
    <w:p>
      <w:pPr>
        <w:pStyle w:val="ListParagraph"/>
        <w:numPr>
          <w:ilvl w:val="0"/>
          <w:numId w:val="6"/>
        </w:numPr>
        <w:ind w:left="720" w:hanging="720"/>
        <w:jc w:val="both"/>
        <w:rPr>
          <w:rFonts w:ascii="Arial" w:hAnsi="Arial" w:cs="Arial"/>
          <w:color w:val="000000" w:themeColor="text1"/>
          <w:sz w:val="22"/>
          <w:szCs w:val="22"/>
        </w:rPr>
      </w:pPr>
      <w:r>
        <w:rPr>
          <w:rFonts w:ascii="Arial" w:hAnsi="Arial" w:cs="Arial"/>
          <w:color w:val="000000" w:themeColor="text1"/>
          <w:sz w:val="22"/>
          <w:szCs w:val="22"/>
        </w:rPr>
        <w:t xml:space="preserve">In compliance with RA No. 8291, otherwise known as the GSIS Act of 1997, PCSO remitted for CY 2020 premium contributions to the GSIS amounting P61.974 million. Likewise, in compliance with the inventory and insurance of all insurable assets and interest of the government pursuant to RA No. 656, otherwise known as the Property Insurance Law, PCSO paid to the GSIS a total of P1.495 million as premiums in CY 2020.  PCSO also remitted the amounts of P1.987 million and P2.765 million to the Home Development Mutual Fund (HDMF),  which represent the contributions and loan payments, respectively, in compliance with Rule VII, Section 3 of the IRR of RA No. 9679, or the Pag-IBIG Fund Law of 2009. Further, contributions in the total amount of P7.569 million were also remitted to PhilHealth in CY 2020. </w:t>
      </w:r>
    </w:p>
    <w:p>
      <w:pPr>
        <w:spacing w:after="0" w:line="240" w:lineRule="auto"/>
        <w:jc w:val="both"/>
        <w:rPr>
          <w:rFonts w:ascii="Arial" w:hAnsi="Arial" w:cs="Arial"/>
          <w:b/>
        </w:rPr>
      </w:pPr>
    </w:p>
    <w:p>
      <w:pPr>
        <w:spacing w:after="0" w:line="240" w:lineRule="auto"/>
        <w:jc w:val="both"/>
        <w:rPr>
          <w:rFonts w:ascii="Arial" w:hAnsi="Arial" w:cs="Arial"/>
          <w:b/>
        </w:rPr>
      </w:pPr>
    </w:p>
    <w:p>
      <w:pPr>
        <w:contextualSpacing/>
        <w:jc w:val="both"/>
        <w:rPr>
          <w:rFonts w:ascii="Arial" w:hAnsi="Arial" w:cs="Arial"/>
          <w:b/>
        </w:rPr>
      </w:pPr>
      <w:r>
        <w:rPr>
          <w:rFonts w:ascii="Arial" w:hAnsi="Arial" w:cs="Arial"/>
          <w:b/>
        </w:rPr>
        <w:t>SUMMARY OF TOTAL SUSPENSIONS, DISALLOWANCES AND CHARGES</w:t>
      </w:r>
    </w:p>
    <w:p>
      <w:pPr>
        <w:spacing w:after="0" w:line="240" w:lineRule="auto"/>
        <w:jc w:val="both"/>
        <w:rPr>
          <w:rFonts w:ascii="Arial" w:hAnsi="Arial" w:cs="Arial"/>
          <w:b/>
          <w:iCs/>
        </w:rPr>
      </w:pPr>
    </w:p>
    <w:p>
      <w:pPr>
        <w:pStyle w:val="ListParagraph"/>
        <w:numPr>
          <w:ilvl w:val="0"/>
          <w:numId w:val="6"/>
        </w:numPr>
        <w:ind w:left="720" w:hanging="720"/>
        <w:jc w:val="both"/>
        <w:rPr>
          <w:rFonts w:ascii="Arial" w:eastAsia="Calibri" w:hAnsi="Arial" w:cs="Arial"/>
          <w:color w:val="000000" w:themeColor="text1"/>
          <w:sz w:val="22"/>
          <w:szCs w:val="22"/>
          <w:lang w:val="en-PH"/>
        </w:rPr>
      </w:pPr>
      <w:r>
        <w:rPr>
          <w:rFonts w:ascii="Arial" w:eastAsia="Calibri" w:hAnsi="Arial" w:cs="Arial"/>
          <w:color w:val="000000" w:themeColor="text1"/>
          <w:sz w:val="22"/>
          <w:szCs w:val="22"/>
          <w:lang w:val="en-PH"/>
        </w:rPr>
        <w:t xml:space="preserve">The unsettled audit suspensions and disallowances as of December 31, 2020 amounted to P87.197 million and P2.778 billion, respectively, as summarized in  Table 18 and </w:t>
      </w:r>
      <w:r>
        <w:rPr>
          <w:rFonts w:ascii="Arial" w:hAnsi="Arial" w:cs="Arial"/>
          <w:color w:val="000000" w:themeColor="text1"/>
          <w:sz w:val="22"/>
          <w:szCs w:val="22"/>
        </w:rPr>
        <w:t>the details thereof are shown in Part IV-Annex A of this Report</w:t>
      </w:r>
      <w:r>
        <w:rPr>
          <w:rFonts w:ascii="Arial" w:hAnsi="Arial" w:cs="Arial"/>
          <w:sz w:val="22"/>
          <w:szCs w:val="22"/>
        </w:rPr>
        <w:t xml:space="preserve">. </w:t>
      </w:r>
      <w:r>
        <w:rPr>
          <w:rFonts w:ascii="Arial" w:eastAsia="Calibri" w:hAnsi="Arial" w:cs="Arial"/>
          <w:color w:val="000000" w:themeColor="text1"/>
          <w:sz w:val="22"/>
          <w:szCs w:val="22"/>
          <w:lang w:val="en-PH"/>
        </w:rPr>
        <w:t>There was no Notice of Charge issued during the year.</w:t>
      </w:r>
    </w:p>
    <w:p>
      <w:pPr>
        <w:pStyle w:val="ListParagraph"/>
        <w:jc w:val="both"/>
        <w:rPr>
          <w:rFonts w:ascii="Arial" w:hAnsi="Arial" w:cs="Arial"/>
          <w:b/>
          <w:iCs/>
          <w:color w:val="000000" w:themeColor="text1"/>
          <w:sz w:val="22"/>
          <w:szCs w:val="22"/>
        </w:rPr>
      </w:pPr>
    </w:p>
    <w:p>
      <w:pPr>
        <w:spacing w:after="0" w:line="240" w:lineRule="auto"/>
        <w:jc w:val="center"/>
        <w:rPr>
          <w:rFonts w:ascii="Arial" w:hAnsi="Arial" w:cs="Arial"/>
          <w:b/>
          <w:color w:val="000000" w:themeColor="text1"/>
          <w:sz w:val="20"/>
          <w:szCs w:val="20"/>
        </w:rPr>
      </w:pPr>
      <w:r>
        <w:rPr>
          <w:rFonts w:ascii="Arial" w:hAnsi="Arial" w:cs="Arial"/>
          <w:b/>
          <w:color w:val="000000" w:themeColor="text1"/>
          <w:sz w:val="20"/>
          <w:szCs w:val="20"/>
        </w:rPr>
        <w:t>Table 18 – Summary of Audit Suspensions and Disallowances</w:t>
      </w:r>
    </w:p>
    <w:p>
      <w:pPr>
        <w:spacing w:after="0" w:line="240" w:lineRule="auto"/>
        <w:jc w:val="center"/>
        <w:rPr>
          <w:rFonts w:ascii="Arial" w:hAnsi="Arial" w:cs="Arial"/>
          <w:b/>
          <w:color w:val="000000" w:themeColor="text1"/>
          <w:sz w:val="20"/>
          <w:szCs w:val="20"/>
        </w:rPr>
      </w:pPr>
      <w:r>
        <w:rPr>
          <w:rFonts w:ascii="Arial" w:hAnsi="Arial" w:cs="Arial"/>
          <w:b/>
          <w:color w:val="000000" w:themeColor="text1"/>
          <w:sz w:val="20"/>
          <w:szCs w:val="20"/>
        </w:rPr>
        <w:t>As of December 31, 2020</w:t>
      </w:r>
    </w:p>
    <w:p>
      <w:pPr>
        <w:spacing w:after="0" w:line="240" w:lineRule="auto"/>
        <w:rPr>
          <w:rFonts w:ascii="Arial" w:hAnsi="Arial" w:cs="Arial"/>
          <w:b/>
          <w:color w:val="000000" w:themeColor="text1"/>
          <w:sz w:val="20"/>
          <w:szCs w:val="20"/>
        </w:rPr>
      </w:pPr>
    </w:p>
    <w:tbl>
      <w:tblPr>
        <w:tblW w:w="9180" w:type="dxa"/>
        <w:tblLayout w:type="fixed"/>
        <w:tblLook w:val="04A0" w:firstRow="1" w:lastRow="0" w:firstColumn="1" w:lastColumn="0" w:noHBand="0" w:noVBand="1"/>
      </w:tblPr>
      <w:tblGrid>
        <w:gridCol w:w="1791"/>
        <w:gridCol w:w="1620"/>
        <w:gridCol w:w="1359"/>
        <w:gridCol w:w="1440"/>
        <w:gridCol w:w="1440"/>
        <w:gridCol w:w="1530"/>
      </w:tblGrid>
      <w:tr>
        <w:trPr>
          <w:trHeight w:val="176"/>
          <w:tblHeader/>
        </w:trPr>
        <w:tc>
          <w:tcPr>
            <w:tcW w:w="1791"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left="-110" w:right="-108"/>
              <w:contextualSpacing/>
              <w:rPr>
                <w:rFonts w:ascii="Arial Narrow" w:hAnsi="Arial Narrow" w:cs="Arial"/>
                <w:b/>
                <w:color w:val="000000" w:themeColor="text1"/>
                <w:sz w:val="20"/>
                <w:szCs w:val="20"/>
                <w:lang w:val="en-US"/>
              </w:rPr>
            </w:pPr>
            <w:r>
              <w:rPr>
                <w:rFonts w:ascii="Arial Narrow" w:hAnsi="Arial Narrow" w:cs="Arial"/>
                <w:b/>
                <w:color w:val="000000" w:themeColor="text1"/>
                <w:sz w:val="20"/>
                <w:szCs w:val="20"/>
                <w:lang w:val="en-US"/>
              </w:rPr>
              <w:t>Particulars</w:t>
            </w:r>
          </w:p>
        </w:tc>
        <w:tc>
          <w:tcPr>
            <w:tcW w:w="1620" w:type="dxa"/>
            <w:tcBorders>
              <w:top w:val="single" w:sz="4" w:space="0" w:color="auto"/>
              <w:bottom w:val="single" w:sz="4" w:space="0" w:color="auto"/>
            </w:tcBorders>
            <w:shd w:val="clear" w:color="auto" w:fill="auto"/>
            <w:vAlign w:val="bottom"/>
          </w:tcPr>
          <w:p>
            <w:pPr>
              <w:tabs>
                <w:tab w:val="left" w:pos="-10"/>
              </w:tabs>
              <w:autoSpaceDE w:val="0"/>
              <w:autoSpaceDN w:val="0"/>
              <w:adjustRightInd w:val="0"/>
              <w:spacing w:after="0" w:line="240" w:lineRule="auto"/>
              <w:ind w:left="-10" w:firstLine="10"/>
              <w:contextualSpacing/>
              <w:jc w:val="right"/>
              <w:rPr>
                <w:rFonts w:ascii="Arial Narrow" w:hAnsi="Arial Narrow" w:cs="Arial"/>
                <w:b/>
                <w:color w:val="000000" w:themeColor="text1"/>
                <w:sz w:val="20"/>
                <w:szCs w:val="20"/>
                <w:lang w:val="en-US"/>
              </w:rPr>
            </w:pPr>
            <w:r>
              <w:rPr>
                <w:rFonts w:ascii="Arial Narrow" w:hAnsi="Arial Narrow" w:cs="Arial"/>
                <w:b/>
                <w:color w:val="000000" w:themeColor="text1"/>
                <w:sz w:val="20"/>
                <w:szCs w:val="20"/>
                <w:lang w:val="en-US"/>
              </w:rPr>
              <w:t>Balance,</w:t>
            </w:r>
          </w:p>
          <w:p>
            <w:pPr>
              <w:tabs>
                <w:tab w:val="left" w:pos="720"/>
              </w:tabs>
              <w:autoSpaceDE w:val="0"/>
              <w:autoSpaceDN w:val="0"/>
              <w:adjustRightInd w:val="0"/>
              <w:spacing w:after="0" w:line="240" w:lineRule="auto"/>
              <w:ind w:left="-108" w:hanging="108"/>
              <w:contextualSpacing/>
              <w:jc w:val="right"/>
              <w:rPr>
                <w:rFonts w:ascii="Arial Narrow" w:hAnsi="Arial Narrow" w:cs="Arial"/>
                <w:b/>
                <w:color w:val="000000" w:themeColor="text1"/>
                <w:sz w:val="20"/>
                <w:szCs w:val="20"/>
                <w:lang w:val="en-US"/>
              </w:rPr>
            </w:pPr>
            <w:r>
              <w:rPr>
                <w:rFonts w:ascii="Arial Narrow" w:hAnsi="Arial Narrow" w:cs="Arial"/>
                <w:b/>
                <w:color w:val="000000" w:themeColor="text1"/>
                <w:sz w:val="20"/>
                <w:szCs w:val="20"/>
                <w:lang w:val="en-US"/>
              </w:rPr>
              <w:t>1/1/2019</w:t>
            </w:r>
          </w:p>
        </w:tc>
        <w:tc>
          <w:tcPr>
            <w:tcW w:w="1359" w:type="dxa"/>
            <w:tcBorders>
              <w:top w:val="single" w:sz="4" w:space="0" w:color="auto"/>
              <w:bottom w:val="single" w:sz="4" w:space="0" w:color="auto"/>
            </w:tcBorders>
            <w:vAlign w:val="bottom"/>
          </w:tcPr>
          <w:p>
            <w:pPr>
              <w:autoSpaceDE w:val="0"/>
              <w:autoSpaceDN w:val="0"/>
              <w:adjustRightInd w:val="0"/>
              <w:spacing w:after="0" w:line="240" w:lineRule="auto"/>
              <w:ind w:left="-108" w:right="-90" w:firstLine="8"/>
              <w:contextualSpacing/>
              <w:jc w:val="right"/>
              <w:rPr>
                <w:rFonts w:ascii="Arial Narrow" w:hAnsi="Arial Narrow" w:cs="Arial"/>
                <w:b/>
                <w:color w:val="000000" w:themeColor="text1"/>
                <w:sz w:val="20"/>
                <w:szCs w:val="20"/>
                <w:lang w:val="en-US"/>
              </w:rPr>
            </w:pPr>
            <w:r>
              <w:rPr>
                <w:rFonts w:ascii="Arial Narrow" w:hAnsi="Arial Narrow" w:cs="Arial"/>
                <w:b/>
                <w:color w:val="000000" w:themeColor="text1"/>
                <w:sz w:val="20"/>
                <w:szCs w:val="20"/>
                <w:lang w:val="en-US"/>
              </w:rPr>
              <w:t>Adjustments</w:t>
            </w:r>
          </w:p>
        </w:tc>
        <w:tc>
          <w:tcPr>
            <w:tcW w:w="1440"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left="-108" w:right="-90" w:hanging="108"/>
              <w:contextualSpacing/>
              <w:jc w:val="right"/>
              <w:rPr>
                <w:rFonts w:ascii="Arial Narrow" w:hAnsi="Arial Narrow" w:cs="Arial"/>
                <w:b/>
                <w:color w:val="000000" w:themeColor="text1"/>
                <w:sz w:val="20"/>
                <w:szCs w:val="20"/>
                <w:lang w:val="en-US"/>
              </w:rPr>
            </w:pPr>
            <w:r>
              <w:rPr>
                <w:rFonts w:ascii="Arial Narrow" w:hAnsi="Arial Narrow" w:cs="Arial"/>
                <w:b/>
                <w:color w:val="000000" w:themeColor="text1"/>
                <w:sz w:val="20"/>
                <w:szCs w:val="20"/>
                <w:lang w:val="en-US"/>
              </w:rPr>
              <w:t>Issued</w:t>
            </w:r>
          </w:p>
          <w:p>
            <w:pPr>
              <w:autoSpaceDE w:val="0"/>
              <w:autoSpaceDN w:val="0"/>
              <w:adjustRightInd w:val="0"/>
              <w:spacing w:after="0" w:line="240" w:lineRule="auto"/>
              <w:ind w:left="-108" w:right="-90" w:hanging="108"/>
              <w:contextualSpacing/>
              <w:jc w:val="right"/>
              <w:rPr>
                <w:rFonts w:ascii="Arial Narrow" w:hAnsi="Arial Narrow" w:cs="Arial"/>
                <w:b/>
                <w:color w:val="000000" w:themeColor="text1"/>
                <w:sz w:val="20"/>
                <w:szCs w:val="20"/>
                <w:lang w:val="en-US"/>
              </w:rPr>
            </w:pPr>
            <w:r>
              <w:rPr>
                <w:rFonts w:ascii="Arial Narrow" w:hAnsi="Arial Narrow" w:cs="Arial"/>
                <w:b/>
                <w:color w:val="000000" w:themeColor="text1"/>
                <w:sz w:val="20"/>
                <w:szCs w:val="20"/>
                <w:lang w:val="en-US"/>
              </w:rPr>
              <w:t>This period</w:t>
            </w:r>
          </w:p>
        </w:tc>
        <w:tc>
          <w:tcPr>
            <w:tcW w:w="1440"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left="-108" w:right="-90" w:hanging="108"/>
              <w:contextualSpacing/>
              <w:jc w:val="right"/>
              <w:rPr>
                <w:rFonts w:ascii="Arial Narrow" w:hAnsi="Arial Narrow" w:cs="Arial"/>
                <w:b/>
                <w:color w:val="000000" w:themeColor="text1"/>
                <w:sz w:val="20"/>
                <w:szCs w:val="20"/>
                <w:lang w:val="en-US"/>
              </w:rPr>
            </w:pPr>
            <w:r>
              <w:rPr>
                <w:rFonts w:ascii="Arial Narrow" w:hAnsi="Arial Narrow" w:cs="Arial"/>
                <w:b/>
                <w:color w:val="000000" w:themeColor="text1"/>
                <w:sz w:val="20"/>
                <w:szCs w:val="20"/>
                <w:lang w:val="en-US"/>
              </w:rPr>
              <w:t>Settlement</w:t>
            </w:r>
          </w:p>
          <w:p>
            <w:pPr>
              <w:autoSpaceDE w:val="0"/>
              <w:autoSpaceDN w:val="0"/>
              <w:adjustRightInd w:val="0"/>
              <w:spacing w:after="0" w:line="240" w:lineRule="auto"/>
              <w:ind w:left="-108" w:right="-90" w:hanging="108"/>
              <w:contextualSpacing/>
              <w:jc w:val="right"/>
              <w:rPr>
                <w:rFonts w:ascii="Arial Narrow" w:hAnsi="Arial Narrow" w:cs="Arial"/>
                <w:b/>
                <w:color w:val="000000" w:themeColor="text1"/>
                <w:sz w:val="20"/>
                <w:szCs w:val="20"/>
                <w:lang w:val="en-US"/>
              </w:rPr>
            </w:pPr>
            <w:r>
              <w:rPr>
                <w:rFonts w:ascii="Arial Narrow" w:hAnsi="Arial Narrow" w:cs="Arial"/>
                <w:b/>
                <w:color w:val="000000" w:themeColor="text1"/>
                <w:sz w:val="20"/>
                <w:szCs w:val="20"/>
                <w:lang w:val="en-US"/>
              </w:rPr>
              <w:t>This period</w:t>
            </w:r>
          </w:p>
        </w:tc>
        <w:tc>
          <w:tcPr>
            <w:tcW w:w="1530"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left="-123" w:right="-90" w:hanging="108"/>
              <w:contextualSpacing/>
              <w:jc w:val="right"/>
              <w:rPr>
                <w:rFonts w:ascii="Arial Narrow" w:hAnsi="Arial Narrow" w:cs="Arial"/>
                <w:b/>
                <w:color w:val="000000" w:themeColor="text1"/>
                <w:sz w:val="20"/>
                <w:szCs w:val="20"/>
                <w:lang w:val="en-US"/>
              </w:rPr>
            </w:pPr>
            <w:r>
              <w:rPr>
                <w:rFonts w:ascii="Arial Narrow" w:hAnsi="Arial Narrow" w:cs="Arial"/>
                <w:b/>
                <w:color w:val="000000" w:themeColor="text1"/>
                <w:sz w:val="20"/>
                <w:szCs w:val="20"/>
                <w:lang w:val="en-US"/>
              </w:rPr>
              <w:t>Balance,</w:t>
            </w:r>
          </w:p>
          <w:p>
            <w:pPr>
              <w:autoSpaceDE w:val="0"/>
              <w:autoSpaceDN w:val="0"/>
              <w:adjustRightInd w:val="0"/>
              <w:spacing w:after="0" w:line="240" w:lineRule="auto"/>
              <w:ind w:left="-123" w:right="-90" w:hanging="108"/>
              <w:contextualSpacing/>
              <w:jc w:val="right"/>
              <w:rPr>
                <w:rFonts w:ascii="Arial Narrow" w:hAnsi="Arial Narrow" w:cs="Arial"/>
                <w:b/>
                <w:color w:val="000000" w:themeColor="text1"/>
                <w:sz w:val="20"/>
                <w:szCs w:val="20"/>
                <w:lang w:val="en-US"/>
              </w:rPr>
            </w:pPr>
            <w:r>
              <w:rPr>
                <w:rFonts w:ascii="Arial Narrow" w:hAnsi="Arial Narrow" w:cs="Arial"/>
                <w:b/>
                <w:color w:val="000000" w:themeColor="text1"/>
                <w:sz w:val="20"/>
                <w:szCs w:val="20"/>
                <w:lang w:val="en-US"/>
              </w:rPr>
              <w:t>12/31/2019</w:t>
            </w:r>
          </w:p>
        </w:tc>
      </w:tr>
      <w:tr>
        <w:trPr>
          <w:trHeight w:val="176"/>
        </w:trPr>
        <w:tc>
          <w:tcPr>
            <w:tcW w:w="1791" w:type="dxa"/>
            <w:shd w:val="clear" w:color="auto" w:fill="auto"/>
            <w:vAlign w:val="bottom"/>
          </w:tcPr>
          <w:p>
            <w:pPr>
              <w:tabs>
                <w:tab w:val="left" w:pos="720"/>
              </w:tabs>
              <w:autoSpaceDE w:val="0"/>
              <w:autoSpaceDN w:val="0"/>
              <w:adjustRightInd w:val="0"/>
              <w:spacing w:after="0" w:line="240" w:lineRule="auto"/>
              <w:ind w:right="-108" w:hanging="108"/>
              <w:contextualSpacing/>
              <w:rPr>
                <w:rFonts w:ascii="Arial Narrow" w:hAnsi="Arial Narrow" w:cs="Arial"/>
                <w:color w:val="000000" w:themeColor="text1"/>
                <w:sz w:val="20"/>
                <w:szCs w:val="20"/>
                <w:lang w:val="en-US"/>
              </w:rPr>
            </w:pPr>
            <w:r>
              <w:rPr>
                <w:rFonts w:ascii="Arial Narrow" w:hAnsi="Arial Narrow" w:cs="Arial"/>
                <w:color w:val="000000" w:themeColor="text1"/>
                <w:sz w:val="20"/>
                <w:szCs w:val="20"/>
                <w:lang w:val="en-US"/>
              </w:rPr>
              <w:t xml:space="preserve">Notices of Suspension </w:t>
            </w:r>
          </w:p>
        </w:tc>
        <w:tc>
          <w:tcPr>
            <w:tcW w:w="1620" w:type="dxa"/>
            <w:shd w:val="clear" w:color="auto" w:fill="auto"/>
            <w:vAlign w:val="bottom"/>
          </w:tcPr>
          <w:p>
            <w:pPr>
              <w:autoSpaceDE w:val="0"/>
              <w:autoSpaceDN w:val="0"/>
              <w:adjustRightInd w:val="0"/>
              <w:spacing w:after="0" w:line="240" w:lineRule="auto"/>
              <w:contextualSpacing/>
              <w:jc w:val="right"/>
              <w:rPr>
                <w:rFonts w:ascii="Arial Narrow" w:hAnsi="Arial Narrow" w:cs="Arial"/>
                <w:color w:val="000000" w:themeColor="text1"/>
                <w:sz w:val="20"/>
                <w:szCs w:val="20"/>
                <w:lang w:val="en-US"/>
              </w:rPr>
            </w:pPr>
            <w:r>
              <w:rPr>
                <w:rFonts w:ascii="Arial Narrow" w:hAnsi="Arial Narrow" w:cs="Arial"/>
                <w:color w:val="000000" w:themeColor="text1"/>
                <w:sz w:val="20"/>
                <w:szCs w:val="20"/>
              </w:rPr>
              <w:t xml:space="preserve">P     </w:t>
            </w:r>
            <w:r>
              <w:rPr>
                <w:rFonts w:ascii="Arial Narrow" w:hAnsi="Arial Narrow" w:cs="Arial"/>
                <w:color w:val="000000" w:themeColor="text1"/>
                <w:sz w:val="20"/>
                <w:szCs w:val="20"/>
              </w:rPr>
              <w:fldChar w:fldCharType="begin"/>
            </w:r>
            <w:r>
              <w:rPr>
                <w:rFonts w:ascii="Arial Narrow" w:hAnsi="Arial Narrow" w:cs="Arial"/>
                <w:color w:val="000000" w:themeColor="text1"/>
                <w:sz w:val="20"/>
                <w:szCs w:val="20"/>
              </w:rPr>
              <w:instrText xml:space="preserve"> =SUM(ABOVE) </w:instrText>
            </w:r>
            <w:r>
              <w:rPr>
                <w:rFonts w:ascii="Arial Narrow" w:hAnsi="Arial Narrow" w:cs="Arial"/>
                <w:color w:val="000000" w:themeColor="text1"/>
                <w:sz w:val="20"/>
                <w:szCs w:val="20"/>
              </w:rPr>
              <w:fldChar w:fldCharType="separate"/>
            </w:r>
            <w:r>
              <w:rPr>
                <w:rFonts w:ascii="Arial Narrow" w:hAnsi="Arial Narrow" w:cs="Arial"/>
                <w:noProof/>
                <w:color w:val="000000" w:themeColor="text1"/>
                <w:sz w:val="20"/>
                <w:szCs w:val="20"/>
              </w:rPr>
              <w:t>37,999,107.81</w:t>
            </w:r>
            <w:r>
              <w:rPr>
                <w:rFonts w:ascii="Arial Narrow" w:hAnsi="Arial Narrow" w:cs="Arial"/>
                <w:color w:val="000000" w:themeColor="text1"/>
                <w:sz w:val="20"/>
                <w:szCs w:val="20"/>
              </w:rPr>
              <w:fldChar w:fldCharType="end"/>
            </w:r>
          </w:p>
        </w:tc>
        <w:tc>
          <w:tcPr>
            <w:tcW w:w="1359" w:type="dxa"/>
            <w:vAlign w:val="bottom"/>
          </w:tcPr>
          <w:p>
            <w:pPr>
              <w:spacing w:after="0" w:line="240" w:lineRule="auto"/>
              <w:ind w:right="-90"/>
              <w:jc w:val="right"/>
              <w:rPr>
                <w:rFonts w:ascii="Arial Narrow" w:hAnsi="Arial Narrow" w:cs="Arial"/>
                <w:color w:val="000000" w:themeColor="text1"/>
                <w:sz w:val="20"/>
                <w:szCs w:val="20"/>
              </w:rPr>
            </w:pPr>
            <w:r>
              <w:rPr>
                <w:rFonts w:ascii="Arial Narrow" w:hAnsi="Arial Narrow" w:cs="Arial"/>
                <w:color w:val="000000" w:themeColor="text1"/>
                <w:sz w:val="20"/>
                <w:szCs w:val="20"/>
              </w:rPr>
              <w:t>P 23,392,618.37</w:t>
            </w:r>
          </w:p>
        </w:tc>
        <w:tc>
          <w:tcPr>
            <w:tcW w:w="1440" w:type="dxa"/>
            <w:shd w:val="clear" w:color="auto" w:fill="auto"/>
            <w:vAlign w:val="bottom"/>
          </w:tcPr>
          <w:p>
            <w:pPr>
              <w:spacing w:after="0" w:line="240" w:lineRule="auto"/>
              <w:ind w:right="-90"/>
              <w:jc w:val="right"/>
              <w:rPr>
                <w:rFonts w:ascii="Arial Narrow" w:hAnsi="Arial Narrow" w:cs="Arial"/>
                <w:color w:val="000000" w:themeColor="text1"/>
                <w:sz w:val="20"/>
                <w:szCs w:val="20"/>
              </w:rPr>
            </w:pPr>
            <w:r>
              <w:rPr>
                <w:rFonts w:ascii="Arial Narrow" w:hAnsi="Arial Narrow" w:cs="Arial"/>
                <w:color w:val="000000" w:themeColor="text1"/>
                <w:sz w:val="20"/>
                <w:szCs w:val="20"/>
              </w:rPr>
              <w:t>P   82,876,878.13</w:t>
            </w:r>
          </w:p>
        </w:tc>
        <w:tc>
          <w:tcPr>
            <w:tcW w:w="1440" w:type="dxa"/>
            <w:shd w:val="clear" w:color="auto" w:fill="auto"/>
            <w:vAlign w:val="bottom"/>
          </w:tcPr>
          <w:p>
            <w:pPr>
              <w:spacing w:after="0" w:line="240" w:lineRule="auto"/>
              <w:ind w:right="-90"/>
              <w:jc w:val="right"/>
              <w:rPr>
                <w:rFonts w:ascii="Arial Narrow" w:hAnsi="Arial Narrow" w:cs="Arial"/>
                <w:color w:val="000000" w:themeColor="text1"/>
                <w:sz w:val="20"/>
                <w:szCs w:val="20"/>
              </w:rPr>
            </w:pPr>
            <w:r>
              <w:rPr>
                <w:rFonts w:ascii="Arial Narrow" w:hAnsi="Arial Narrow" w:cs="Arial"/>
                <w:color w:val="000000" w:themeColor="text1"/>
                <w:sz w:val="20"/>
                <w:szCs w:val="20"/>
              </w:rPr>
              <w:t>P  57,071,326.00</w:t>
            </w:r>
          </w:p>
        </w:tc>
        <w:tc>
          <w:tcPr>
            <w:tcW w:w="1530" w:type="dxa"/>
            <w:shd w:val="clear" w:color="auto" w:fill="auto"/>
            <w:vAlign w:val="bottom"/>
          </w:tcPr>
          <w:p>
            <w:pPr>
              <w:spacing w:after="0" w:line="240" w:lineRule="auto"/>
              <w:ind w:right="-90" w:hanging="108"/>
              <w:jc w:val="right"/>
              <w:rPr>
                <w:rFonts w:ascii="Arial Narrow" w:hAnsi="Arial Narrow" w:cs="Arial"/>
                <w:color w:val="000000" w:themeColor="text1"/>
                <w:sz w:val="20"/>
                <w:szCs w:val="20"/>
              </w:rPr>
            </w:pPr>
            <w:r>
              <w:rPr>
                <w:rFonts w:ascii="Arial Narrow" w:hAnsi="Arial Narrow" w:cs="Arial"/>
                <w:color w:val="000000" w:themeColor="text1"/>
                <w:sz w:val="20"/>
                <w:szCs w:val="20"/>
              </w:rPr>
              <w:t>P      87,197,278.31</w:t>
            </w:r>
          </w:p>
        </w:tc>
      </w:tr>
      <w:tr>
        <w:trPr>
          <w:trHeight w:val="198"/>
        </w:trPr>
        <w:tc>
          <w:tcPr>
            <w:tcW w:w="1791" w:type="dxa"/>
            <w:shd w:val="clear" w:color="auto" w:fill="auto"/>
            <w:vAlign w:val="bottom"/>
          </w:tcPr>
          <w:p>
            <w:pPr>
              <w:tabs>
                <w:tab w:val="left" w:pos="720"/>
              </w:tabs>
              <w:autoSpaceDE w:val="0"/>
              <w:autoSpaceDN w:val="0"/>
              <w:adjustRightInd w:val="0"/>
              <w:spacing w:after="0" w:line="240" w:lineRule="auto"/>
              <w:ind w:right="-108" w:hanging="108"/>
              <w:contextualSpacing/>
              <w:rPr>
                <w:rFonts w:ascii="Arial Narrow" w:hAnsi="Arial Narrow" w:cs="Arial"/>
                <w:color w:val="000000" w:themeColor="text1"/>
                <w:sz w:val="20"/>
                <w:szCs w:val="20"/>
                <w:lang w:val="en-US"/>
              </w:rPr>
            </w:pPr>
            <w:r>
              <w:rPr>
                <w:rFonts w:ascii="Arial Narrow" w:hAnsi="Arial Narrow" w:cs="Arial"/>
                <w:color w:val="000000" w:themeColor="text1"/>
                <w:sz w:val="20"/>
                <w:szCs w:val="20"/>
                <w:lang w:val="en-US"/>
              </w:rPr>
              <w:t xml:space="preserve">Notices of Disallowance </w:t>
            </w:r>
          </w:p>
        </w:tc>
        <w:tc>
          <w:tcPr>
            <w:tcW w:w="1620" w:type="dxa"/>
            <w:shd w:val="clear" w:color="auto" w:fill="auto"/>
            <w:vAlign w:val="bottom"/>
          </w:tcPr>
          <w:p>
            <w:pPr>
              <w:autoSpaceDE w:val="0"/>
              <w:autoSpaceDN w:val="0"/>
              <w:adjustRightInd w:val="0"/>
              <w:spacing w:after="0" w:line="240" w:lineRule="auto"/>
              <w:ind w:left="-123" w:hanging="108"/>
              <w:contextualSpacing/>
              <w:jc w:val="right"/>
              <w:rPr>
                <w:rFonts w:ascii="Arial Narrow" w:hAnsi="Arial Narrow" w:cs="Arial"/>
                <w:color w:val="000000" w:themeColor="text1"/>
                <w:sz w:val="20"/>
                <w:szCs w:val="20"/>
                <w:lang w:val="en-US"/>
              </w:rPr>
            </w:pPr>
            <w:r>
              <w:rPr>
                <w:rFonts w:ascii="Arial Narrow" w:hAnsi="Arial Narrow" w:cs="Arial"/>
                <w:color w:val="000000" w:themeColor="text1"/>
                <w:sz w:val="20"/>
                <w:szCs w:val="20"/>
              </w:rPr>
              <w:fldChar w:fldCharType="begin"/>
            </w:r>
            <w:r>
              <w:rPr>
                <w:rFonts w:ascii="Arial Narrow" w:hAnsi="Arial Narrow" w:cs="Arial"/>
                <w:color w:val="000000" w:themeColor="text1"/>
                <w:sz w:val="20"/>
                <w:szCs w:val="20"/>
              </w:rPr>
              <w:instrText xml:space="preserve"> =SUM(ABOVE) </w:instrText>
            </w:r>
            <w:r>
              <w:rPr>
                <w:rFonts w:ascii="Arial Narrow" w:hAnsi="Arial Narrow" w:cs="Arial"/>
                <w:color w:val="000000" w:themeColor="text1"/>
                <w:sz w:val="20"/>
                <w:szCs w:val="20"/>
              </w:rPr>
              <w:fldChar w:fldCharType="separate"/>
            </w:r>
            <w:r>
              <w:rPr>
                <w:rFonts w:ascii="Arial Narrow" w:hAnsi="Arial Narrow" w:cs="Arial"/>
                <w:noProof/>
                <w:color w:val="000000" w:themeColor="text1"/>
                <w:sz w:val="20"/>
                <w:szCs w:val="20"/>
              </w:rPr>
              <w:t>2,076,481,493.17</w:t>
            </w:r>
            <w:r>
              <w:rPr>
                <w:rFonts w:ascii="Arial Narrow" w:hAnsi="Arial Narrow" w:cs="Arial"/>
                <w:color w:val="000000" w:themeColor="text1"/>
                <w:sz w:val="20"/>
                <w:szCs w:val="20"/>
              </w:rPr>
              <w:fldChar w:fldCharType="end"/>
            </w:r>
          </w:p>
        </w:tc>
        <w:tc>
          <w:tcPr>
            <w:tcW w:w="1359" w:type="dxa"/>
            <w:vAlign w:val="bottom"/>
          </w:tcPr>
          <w:p>
            <w:pPr>
              <w:spacing w:after="0" w:line="240" w:lineRule="auto"/>
              <w:ind w:right="-90"/>
              <w:jc w:val="right"/>
              <w:rPr>
                <w:rFonts w:ascii="Arial Narrow" w:hAnsi="Arial Narrow" w:cs="Arial"/>
                <w:color w:val="000000" w:themeColor="text1"/>
                <w:sz w:val="20"/>
                <w:szCs w:val="20"/>
              </w:rPr>
            </w:pPr>
            <w:r>
              <w:rPr>
                <w:rFonts w:ascii="Arial Narrow" w:hAnsi="Arial Narrow" w:cs="Arial"/>
                <w:color w:val="000000" w:themeColor="text1"/>
                <w:sz w:val="20"/>
                <w:szCs w:val="20"/>
              </w:rPr>
              <w:t>-</w:t>
            </w:r>
          </w:p>
        </w:tc>
        <w:tc>
          <w:tcPr>
            <w:tcW w:w="1440" w:type="dxa"/>
            <w:shd w:val="clear" w:color="auto" w:fill="auto"/>
            <w:vAlign w:val="bottom"/>
          </w:tcPr>
          <w:p>
            <w:pPr>
              <w:spacing w:after="0" w:line="240" w:lineRule="auto"/>
              <w:ind w:right="-90"/>
              <w:jc w:val="right"/>
              <w:rPr>
                <w:rFonts w:ascii="Arial Narrow" w:hAnsi="Arial Narrow" w:cs="Arial"/>
                <w:color w:val="000000" w:themeColor="text1"/>
                <w:sz w:val="20"/>
                <w:szCs w:val="20"/>
              </w:rPr>
            </w:pPr>
            <w:r>
              <w:rPr>
                <w:rFonts w:ascii="Arial Narrow" w:hAnsi="Arial Narrow" w:cs="Arial"/>
                <w:color w:val="000000" w:themeColor="text1"/>
                <w:sz w:val="20"/>
                <w:szCs w:val="20"/>
              </w:rPr>
              <w:t>619,487,091.47</w:t>
            </w:r>
          </w:p>
        </w:tc>
        <w:tc>
          <w:tcPr>
            <w:tcW w:w="1440" w:type="dxa"/>
            <w:shd w:val="clear" w:color="auto" w:fill="auto"/>
            <w:vAlign w:val="bottom"/>
          </w:tcPr>
          <w:p>
            <w:pPr>
              <w:spacing w:after="0" w:line="240" w:lineRule="auto"/>
              <w:ind w:right="-90"/>
              <w:jc w:val="right"/>
              <w:rPr>
                <w:rFonts w:ascii="Arial Narrow" w:hAnsi="Arial Narrow" w:cs="Arial"/>
                <w:color w:val="000000" w:themeColor="text1"/>
                <w:sz w:val="20"/>
                <w:szCs w:val="20"/>
              </w:rPr>
            </w:pPr>
            <w:r>
              <w:rPr>
                <w:rFonts w:ascii="Arial Narrow" w:hAnsi="Arial Narrow" w:cs="Arial"/>
                <w:color w:val="000000" w:themeColor="text1"/>
                <w:sz w:val="20"/>
                <w:szCs w:val="20"/>
              </w:rPr>
              <w:t>5,000,000.00</w:t>
            </w:r>
          </w:p>
        </w:tc>
        <w:tc>
          <w:tcPr>
            <w:tcW w:w="1530" w:type="dxa"/>
            <w:shd w:val="clear" w:color="auto" w:fill="auto"/>
            <w:vAlign w:val="bottom"/>
          </w:tcPr>
          <w:p>
            <w:pPr>
              <w:spacing w:after="0" w:line="240" w:lineRule="auto"/>
              <w:ind w:right="-90" w:hanging="116"/>
              <w:jc w:val="right"/>
              <w:rPr>
                <w:rFonts w:ascii="Arial Narrow" w:hAnsi="Arial Narrow" w:cs="Arial"/>
                <w:color w:val="000000" w:themeColor="text1"/>
                <w:sz w:val="20"/>
                <w:szCs w:val="20"/>
              </w:rPr>
            </w:pPr>
            <w:r>
              <w:rPr>
                <w:rFonts w:ascii="Arial Narrow" w:hAnsi="Arial Narrow" w:cs="Arial"/>
                <w:color w:val="000000" w:themeColor="text1"/>
                <w:sz w:val="20"/>
                <w:szCs w:val="20"/>
              </w:rPr>
              <w:t>2,690,968,584.64</w:t>
            </w:r>
          </w:p>
        </w:tc>
      </w:tr>
      <w:tr>
        <w:trPr>
          <w:trHeight w:val="188"/>
        </w:trPr>
        <w:tc>
          <w:tcPr>
            <w:tcW w:w="1791" w:type="dxa"/>
            <w:tcBorders>
              <w:top w:val="single" w:sz="4" w:space="0" w:color="auto"/>
              <w:bottom w:val="double" w:sz="4" w:space="0" w:color="auto"/>
            </w:tcBorders>
            <w:shd w:val="clear" w:color="auto" w:fill="auto"/>
            <w:vAlign w:val="bottom"/>
          </w:tcPr>
          <w:p>
            <w:pPr>
              <w:tabs>
                <w:tab w:val="left" w:pos="720"/>
              </w:tabs>
              <w:autoSpaceDE w:val="0"/>
              <w:autoSpaceDN w:val="0"/>
              <w:adjustRightInd w:val="0"/>
              <w:spacing w:after="0" w:line="240" w:lineRule="auto"/>
              <w:ind w:right="-108" w:hanging="108"/>
              <w:contextualSpacing/>
              <w:jc w:val="both"/>
              <w:rPr>
                <w:rFonts w:ascii="Arial Narrow" w:hAnsi="Arial Narrow" w:cs="Arial"/>
                <w:b/>
                <w:color w:val="000000" w:themeColor="text1"/>
                <w:sz w:val="20"/>
                <w:szCs w:val="20"/>
                <w:lang w:val="en-US"/>
              </w:rPr>
            </w:pPr>
            <w:r>
              <w:rPr>
                <w:rFonts w:ascii="Arial Narrow" w:hAnsi="Arial Narrow" w:cs="Arial"/>
                <w:b/>
                <w:color w:val="000000" w:themeColor="text1"/>
                <w:sz w:val="20"/>
                <w:szCs w:val="20"/>
                <w:lang w:val="en-US"/>
              </w:rPr>
              <w:t>Total</w:t>
            </w:r>
          </w:p>
        </w:tc>
        <w:tc>
          <w:tcPr>
            <w:tcW w:w="1620"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ind w:left="-123" w:hanging="108"/>
              <w:contextualSpacing/>
              <w:jc w:val="right"/>
              <w:rPr>
                <w:rFonts w:ascii="Arial Narrow" w:hAnsi="Arial Narrow" w:cs="Arial"/>
                <w:b/>
                <w:color w:val="000000" w:themeColor="text1"/>
                <w:sz w:val="20"/>
                <w:szCs w:val="20"/>
                <w:lang w:val="en-US"/>
              </w:rPr>
            </w:pPr>
            <w:r>
              <w:rPr>
                <w:rFonts w:ascii="Arial Narrow" w:hAnsi="Arial Narrow" w:cs="Arial"/>
                <w:b/>
                <w:color w:val="000000" w:themeColor="text1"/>
                <w:sz w:val="20"/>
                <w:szCs w:val="20"/>
              </w:rPr>
              <w:t xml:space="preserve">P </w:t>
            </w:r>
            <w:r>
              <w:rPr>
                <w:rFonts w:ascii="Arial Narrow" w:hAnsi="Arial Narrow" w:cs="Arial"/>
                <w:b/>
                <w:color w:val="000000" w:themeColor="text1"/>
                <w:sz w:val="20"/>
                <w:szCs w:val="20"/>
              </w:rPr>
              <w:fldChar w:fldCharType="begin"/>
            </w:r>
            <w:r>
              <w:rPr>
                <w:rFonts w:ascii="Arial Narrow" w:hAnsi="Arial Narrow" w:cs="Arial"/>
                <w:b/>
                <w:color w:val="000000" w:themeColor="text1"/>
                <w:sz w:val="20"/>
                <w:szCs w:val="20"/>
              </w:rPr>
              <w:instrText xml:space="preserve"> =SUM(ABOVE) </w:instrText>
            </w:r>
            <w:r>
              <w:rPr>
                <w:rFonts w:ascii="Arial Narrow" w:hAnsi="Arial Narrow" w:cs="Arial"/>
                <w:b/>
                <w:color w:val="000000" w:themeColor="text1"/>
                <w:sz w:val="20"/>
                <w:szCs w:val="20"/>
              </w:rPr>
              <w:fldChar w:fldCharType="separate"/>
            </w:r>
            <w:r>
              <w:rPr>
                <w:rFonts w:ascii="Arial Narrow" w:hAnsi="Arial Narrow" w:cs="Arial"/>
                <w:b/>
                <w:noProof/>
                <w:color w:val="000000" w:themeColor="text1"/>
                <w:sz w:val="20"/>
                <w:szCs w:val="20"/>
              </w:rPr>
              <w:t>2,114,480,600.98</w:t>
            </w:r>
            <w:r>
              <w:rPr>
                <w:rFonts w:ascii="Arial Narrow" w:hAnsi="Arial Narrow" w:cs="Arial"/>
                <w:b/>
                <w:color w:val="000000" w:themeColor="text1"/>
                <w:sz w:val="20"/>
                <w:szCs w:val="20"/>
              </w:rPr>
              <w:fldChar w:fldCharType="end"/>
            </w:r>
          </w:p>
        </w:tc>
        <w:tc>
          <w:tcPr>
            <w:tcW w:w="1359" w:type="dxa"/>
            <w:tcBorders>
              <w:top w:val="single" w:sz="4" w:space="0" w:color="auto"/>
              <w:bottom w:val="double" w:sz="4" w:space="0" w:color="auto"/>
            </w:tcBorders>
            <w:vAlign w:val="bottom"/>
          </w:tcPr>
          <w:p>
            <w:pPr>
              <w:spacing w:after="0" w:line="240" w:lineRule="auto"/>
              <w:ind w:right="-90"/>
              <w:jc w:val="right"/>
              <w:rPr>
                <w:rFonts w:ascii="Arial Narrow" w:hAnsi="Arial Narrow" w:cs="Arial"/>
                <w:b/>
                <w:bCs/>
                <w:color w:val="000000" w:themeColor="text1"/>
                <w:sz w:val="20"/>
                <w:szCs w:val="20"/>
                <w:lang w:val="en-US"/>
              </w:rPr>
            </w:pPr>
            <w:r>
              <w:rPr>
                <w:rFonts w:ascii="Arial Narrow" w:hAnsi="Arial Narrow" w:cs="Arial"/>
                <w:b/>
                <w:color w:val="000000" w:themeColor="text1"/>
                <w:sz w:val="20"/>
                <w:szCs w:val="20"/>
              </w:rPr>
              <w:t>P 23,392,618.37</w:t>
            </w:r>
          </w:p>
        </w:tc>
        <w:tc>
          <w:tcPr>
            <w:tcW w:w="1440" w:type="dxa"/>
            <w:tcBorders>
              <w:top w:val="single" w:sz="4" w:space="0" w:color="auto"/>
              <w:bottom w:val="double" w:sz="4" w:space="0" w:color="auto"/>
            </w:tcBorders>
            <w:shd w:val="clear" w:color="auto" w:fill="auto"/>
            <w:vAlign w:val="bottom"/>
          </w:tcPr>
          <w:p>
            <w:pPr>
              <w:spacing w:after="0" w:line="240" w:lineRule="auto"/>
              <w:ind w:right="-90"/>
              <w:jc w:val="right"/>
              <w:rPr>
                <w:rFonts w:ascii="Arial Narrow" w:hAnsi="Arial Narrow" w:cs="Arial"/>
                <w:b/>
                <w:bCs/>
                <w:color w:val="000000" w:themeColor="text1"/>
                <w:sz w:val="20"/>
                <w:szCs w:val="20"/>
                <w:lang w:val="en-US"/>
              </w:rPr>
            </w:pPr>
            <w:r>
              <w:rPr>
                <w:rFonts w:ascii="Arial Narrow" w:hAnsi="Arial Narrow" w:cs="Arial"/>
                <w:b/>
                <w:bCs/>
                <w:color w:val="000000" w:themeColor="text1"/>
                <w:sz w:val="20"/>
                <w:szCs w:val="20"/>
                <w:lang w:val="en-US"/>
              </w:rPr>
              <w:t>P 702,363,969.60</w:t>
            </w:r>
          </w:p>
        </w:tc>
        <w:tc>
          <w:tcPr>
            <w:tcW w:w="1440" w:type="dxa"/>
            <w:tcBorders>
              <w:top w:val="single" w:sz="4" w:space="0" w:color="auto"/>
              <w:bottom w:val="double" w:sz="4" w:space="0" w:color="auto"/>
            </w:tcBorders>
            <w:shd w:val="clear" w:color="auto" w:fill="auto"/>
            <w:vAlign w:val="bottom"/>
          </w:tcPr>
          <w:p>
            <w:pPr>
              <w:spacing w:after="0" w:line="240" w:lineRule="auto"/>
              <w:ind w:right="-90"/>
              <w:jc w:val="right"/>
              <w:rPr>
                <w:rFonts w:ascii="Arial Narrow" w:hAnsi="Arial Narrow" w:cs="Arial"/>
                <w:b/>
                <w:bCs/>
                <w:color w:val="000000" w:themeColor="text1"/>
                <w:sz w:val="20"/>
                <w:szCs w:val="20"/>
              </w:rPr>
            </w:pPr>
            <w:r>
              <w:rPr>
                <w:rFonts w:ascii="Arial Narrow" w:hAnsi="Arial Narrow" w:cs="Arial"/>
                <w:b/>
                <w:bCs/>
                <w:color w:val="000000" w:themeColor="text1"/>
                <w:sz w:val="20"/>
                <w:szCs w:val="20"/>
              </w:rPr>
              <w:t>P  62,071,326.00</w:t>
            </w:r>
          </w:p>
        </w:tc>
        <w:tc>
          <w:tcPr>
            <w:tcW w:w="1530"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ind w:left="-123" w:right="-90" w:hanging="108"/>
              <w:contextualSpacing/>
              <w:jc w:val="right"/>
              <w:rPr>
                <w:rFonts w:ascii="Arial Narrow" w:hAnsi="Arial Narrow" w:cs="Arial"/>
                <w:b/>
                <w:color w:val="000000" w:themeColor="text1"/>
                <w:sz w:val="20"/>
                <w:szCs w:val="20"/>
              </w:rPr>
            </w:pPr>
            <w:r>
              <w:rPr>
                <w:rFonts w:ascii="Arial Narrow" w:hAnsi="Arial Narrow" w:cs="Arial"/>
                <w:b/>
                <w:color w:val="000000" w:themeColor="text1"/>
                <w:sz w:val="20"/>
                <w:szCs w:val="20"/>
              </w:rPr>
              <w:t>P 2,778,165,862.95</w:t>
            </w:r>
          </w:p>
        </w:tc>
      </w:tr>
    </w:tbl>
    <w:p>
      <w:pPr>
        <w:pStyle w:val="ListParagraph"/>
        <w:ind w:left="1440"/>
        <w:jc w:val="both"/>
        <w:rPr>
          <w:rFonts w:ascii="Arial" w:hAnsi="Arial" w:cs="Arial"/>
          <w:b/>
          <w:iCs/>
          <w:color w:val="000000" w:themeColor="text1"/>
          <w:sz w:val="22"/>
          <w:szCs w:val="22"/>
        </w:rPr>
      </w:pPr>
    </w:p>
    <w:sectPr>
      <w:footerReference w:type="default" r:id="rId8"/>
      <w:pgSz w:w="12240" w:h="15840" w:code="1"/>
      <w:pgMar w:top="1440" w:right="1440" w:bottom="1440" w:left="1440" w:header="720" w:footer="720" w:gutter="720"/>
      <w:pgNumType w:start="8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714303"/>
      <w:docPartObj>
        <w:docPartGallery w:val="Page Numbers (Bottom of Page)"/>
        <w:docPartUnique/>
      </w:docPartObj>
    </w:sdtPr>
    <w:sdtEndPr>
      <w:rPr>
        <w:rFonts w:ascii="Arial" w:hAnsi="Arial" w:cs="Arial"/>
        <w:noProof/>
        <w:sz w:val="20"/>
        <w:szCs w:val="20"/>
      </w:rPr>
    </w:sdtEndPr>
    <w:sdtContent>
      <w:p>
        <w:pPr>
          <w:pStyle w:val="Footer"/>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Pr>
            <w:rFonts w:ascii="Arial" w:hAnsi="Arial" w:cs="Arial"/>
            <w:noProof/>
            <w:sz w:val="20"/>
            <w:szCs w:val="20"/>
          </w:rPr>
          <w:t>120</w:t>
        </w:r>
        <w:r>
          <w:rPr>
            <w:rFonts w:ascii="Arial" w:hAnsi="Arial" w:cs="Arial"/>
            <w:noProof/>
            <w:sz w:val="20"/>
            <w:szCs w:val="20"/>
          </w:rPr>
          <w:fldChar w:fldCharType="end"/>
        </w:r>
      </w:p>
    </w:sdtContent>
  </w:sdt>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Republic Act No. 11469, Sec. 3(h).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8C9"/>
    <w:multiLevelType w:val="hybridMultilevel"/>
    <w:tmpl w:val="7D5C9888"/>
    <w:lvl w:ilvl="0" w:tplc="FE048E68">
      <w:start w:val="1"/>
      <w:numFmt w:val="lowerLetter"/>
      <w:lvlText w:val="%1."/>
      <w:lvlJc w:val="left"/>
      <w:pPr>
        <w:ind w:left="2160" w:hanging="360"/>
      </w:pPr>
      <w:rPr>
        <w:rFonts w:hint="default"/>
        <w:b/>
        <w:i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 w15:restartNumberingAfterBreak="0">
    <w:nsid w:val="01607FAA"/>
    <w:multiLevelType w:val="multilevel"/>
    <w:tmpl w:val="4386EEA8"/>
    <w:lvl w:ilvl="0">
      <w:start w:val="4"/>
      <w:numFmt w:val="decimal"/>
      <w:lvlText w:val="%1."/>
      <w:lvlJc w:val="left"/>
      <w:pPr>
        <w:ind w:left="360" w:hanging="360"/>
      </w:pPr>
      <w:rPr>
        <w:rFonts w:hint="default"/>
        <w:b/>
        <w:sz w:val="22"/>
        <w:szCs w:val="22"/>
      </w:rPr>
    </w:lvl>
    <w:lvl w:ilvl="1">
      <w:start w:val="1"/>
      <w:numFmt w:val="decimal"/>
      <w:lvlText w:val="%1.%2"/>
      <w:lvlJc w:val="left"/>
      <w:pPr>
        <w:ind w:left="786" w:hanging="360"/>
      </w:pPr>
      <w:rPr>
        <w:rFonts w:hint="default"/>
        <w:b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 w15:restartNumberingAfterBreak="0">
    <w:nsid w:val="119F4352"/>
    <w:multiLevelType w:val="multilevel"/>
    <w:tmpl w:val="DF5417B2"/>
    <w:lvl w:ilvl="0">
      <w:start w:val="4"/>
      <w:numFmt w:val="decimal"/>
      <w:lvlText w:val="%1."/>
      <w:lvlJc w:val="left"/>
      <w:pPr>
        <w:ind w:left="360" w:hanging="360"/>
      </w:pPr>
      <w:rPr>
        <w:rFonts w:hint="default"/>
        <w:b w:val="0"/>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3" w15:restartNumberingAfterBreak="0">
    <w:nsid w:val="125F0255"/>
    <w:multiLevelType w:val="multilevel"/>
    <w:tmpl w:val="2826BDE4"/>
    <w:lvl w:ilvl="0">
      <w:start w:val="7"/>
      <w:numFmt w:val="decimal"/>
      <w:lvlText w:val="%1."/>
      <w:lvlJc w:val="left"/>
      <w:pPr>
        <w:ind w:left="360" w:hanging="360"/>
      </w:pPr>
      <w:rPr>
        <w:rFonts w:hint="default"/>
        <w:b w:val="0"/>
        <w:color w:val="auto"/>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b w:val="0"/>
        <w:color w:val="auto"/>
      </w:rPr>
    </w:lvl>
    <w:lvl w:ilvl="3">
      <w:start w:val="1"/>
      <w:numFmt w:val="decimal"/>
      <w:lvlText w:val="%1.%2.%3.%4."/>
      <w:lvlJc w:val="left"/>
      <w:pPr>
        <w:ind w:left="2358" w:hanging="1080"/>
      </w:pPr>
      <w:rPr>
        <w:rFonts w:hint="default"/>
        <w:b w:val="0"/>
        <w:color w:val="auto"/>
      </w:rPr>
    </w:lvl>
    <w:lvl w:ilvl="4">
      <w:start w:val="1"/>
      <w:numFmt w:val="decimal"/>
      <w:lvlText w:val="%1.%2.%3.%4.%5."/>
      <w:lvlJc w:val="left"/>
      <w:pPr>
        <w:ind w:left="2784" w:hanging="1080"/>
      </w:pPr>
      <w:rPr>
        <w:rFonts w:hint="default"/>
        <w:b w:val="0"/>
        <w:color w:val="auto"/>
      </w:rPr>
    </w:lvl>
    <w:lvl w:ilvl="5">
      <w:start w:val="1"/>
      <w:numFmt w:val="decimal"/>
      <w:lvlText w:val="%1.%2.%3.%4.%5.%6."/>
      <w:lvlJc w:val="left"/>
      <w:pPr>
        <w:ind w:left="3570" w:hanging="1440"/>
      </w:pPr>
      <w:rPr>
        <w:rFonts w:hint="default"/>
        <w:b w:val="0"/>
        <w:color w:val="auto"/>
      </w:rPr>
    </w:lvl>
    <w:lvl w:ilvl="6">
      <w:start w:val="1"/>
      <w:numFmt w:val="decimal"/>
      <w:lvlText w:val="%1.%2.%3.%4.%5.%6.%7."/>
      <w:lvlJc w:val="left"/>
      <w:pPr>
        <w:ind w:left="3996" w:hanging="1440"/>
      </w:pPr>
      <w:rPr>
        <w:rFonts w:hint="default"/>
        <w:b w:val="0"/>
        <w:color w:val="auto"/>
      </w:rPr>
    </w:lvl>
    <w:lvl w:ilvl="7">
      <w:start w:val="1"/>
      <w:numFmt w:val="decimal"/>
      <w:lvlText w:val="%1.%2.%3.%4.%5.%6.%7.%8."/>
      <w:lvlJc w:val="left"/>
      <w:pPr>
        <w:ind w:left="4782" w:hanging="1800"/>
      </w:pPr>
      <w:rPr>
        <w:rFonts w:hint="default"/>
        <w:b w:val="0"/>
        <w:color w:val="auto"/>
      </w:rPr>
    </w:lvl>
    <w:lvl w:ilvl="8">
      <w:start w:val="1"/>
      <w:numFmt w:val="decimal"/>
      <w:lvlText w:val="%1.%2.%3.%4.%5.%6.%7.%8.%9."/>
      <w:lvlJc w:val="left"/>
      <w:pPr>
        <w:ind w:left="5208" w:hanging="1800"/>
      </w:pPr>
      <w:rPr>
        <w:rFonts w:hint="default"/>
        <w:b w:val="0"/>
        <w:color w:val="auto"/>
      </w:rPr>
    </w:lvl>
  </w:abstractNum>
  <w:abstractNum w:abstractNumId="4" w15:restartNumberingAfterBreak="0">
    <w:nsid w:val="17E143E9"/>
    <w:multiLevelType w:val="hybridMultilevel"/>
    <w:tmpl w:val="0F544686"/>
    <w:lvl w:ilvl="0" w:tplc="019AE5F0">
      <w:start w:val="1"/>
      <w:numFmt w:val="lowerLetter"/>
      <w:lvlText w:val="%1."/>
      <w:lvlJc w:val="left"/>
      <w:pPr>
        <w:ind w:left="1440" w:hanging="360"/>
      </w:pPr>
      <w:rPr>
        <w:rFonts w:hint="default"/>
        <w:b/>
        <w:i w:val="0"/>
        <w:sz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 w15:restartNumberingAfterBreak="0">
    <w:nsid w:val="19E22122"/>
    <w:multiLevelType w:val="multilevel"/>
    <w:tmpl w:val="695C6E8A"/>
    <w:lvl w:ilvl="0">
      <w:start w:val="10"/>
      <w:numFmt w:val="decimal"/>
      <w:lvlText w:val="%1."/>
      <w:lvlJc w:val="left"/>
      <w:pPr>
        <w:ind w:left="480" w:hanging="48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EA42260"/>
    <w:multiLevelType w:val="hybridMultilevel"/>
    <w:tmpl w:val="AD78868C"/>
    <w:lvl w:ilvl="0" w:tplc="3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F0E22CE"/>
    <w:multiLevelType w:val="multilevel"/>
    <w:tmpl w:val="FBF0C7D6"/>
    <w:lvl w:ilvl="0">
      <w:start w:val="1"/>
      <w:numFmt w:val="decimal"/>
      <w:lvlText w:val="%1."/>
      <w:lvlJc w:val="left"/>
      <w:pPr>
        <w:ind w:left="576" w:hanging="576"/>
      </w:pPr>
      <w:rPr>
        <w:rFonts w:hint="default"/>
        <w:b/>
        <w:i w:val="0"/>
        <w:color w:val="auto"/>
        <w:sz w:val="22"/>
        <w:szCs w:val="22"/>
      </w:rPr>
    </w:lvl>
    <w:lvl w:ilvl="1">
      <w:start w:val="1"/>
      <w:numFmt w:val="decimal"/>
      <w:lvlText w:val="%1.%2"/>
      <w:lvlJc w:val="left"/>
      <w:pPr>
        <w:ind w:left="1288" w:hanging="720"/>
      </w:pPr>
      <w:rPr>
        <w:rFonts w:ascii="Arial" w:hAnsi="Arial" w:cs="Arial"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22382C"/>
    <w:multiLevelType w:val="multilevel"/>
    <w:tmpl w:val="3EE2B35C"/>
    <w:lvl w:ilvl="0">
      <w:start w:val="3"/>
      <w:numFmt w:val="decimal"/>
      <w:lvlText w:val="%1."/>
      <w:lvlJc w:val="left"/>
      <w:pPr>
        <w:ind w:left="360" w:hanging="360"/>
      </w:pPr>
      <w:rPr>
        <w:rFonts w:hint="default"/>
        <w:b w:val="0"/>
      </w:rPr>
    </w:lvl>
    <w:lvl w:ilvl="1">
      <w:start w:val="1"/>
      <w:numFmt w:val="decimal"/>
      <w:lvlText w:val="%1.%2."/>
      <w:lvlJc w:val="left"/>
      <w:pPr>
        <w:ind w:left="1288" w:hanging="720"/>
      </w:pPr>
      <w:rPr>
        <w:rFonts w:hint="default"/>
        <w:b w:val="0"/>
        <w:i w:val="0"/>
        <w:sz w:val="22"/>
        <w:szCs w:val="22"/>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4280" w:hanging="1440"/>
      </w:pPr>
      <w:rPr>
        <w:rFonts w:hint="default"/>
        <w:b w:val="0"/>
      </w:rPr>
    </w:lvl>
    <w:lvl w:ilvl="6">
      <w:start w:val="1"/>
      <w:numFmt w:val="decimal"/>
      <w:lvlText w:val="%1.%2.%3.%4.%5.%6.%7."/>
      <w:lvlJc w:val="left"/>
      <w:pPr>
        <w:ind w:left="4848" w:hanging="1440"/>
      </w:pPr>
      <w:rPr>
        <w:rFonts w:hint="default"/>
        <w:b w:val="0"/>
      </w:rPr>
    </w:lvl>
    <w:lvl w:ilvl="7">
      <w:start w:val="1"/>
      <w:numFmt w:val="decimal"/>
      <w:lvlText w:val="%1.%2.%3.%4.%5.%6.%7.%8."/>
      <w:lvlJc w:val="left"/>
      <w:pPr>
        <w:ind w:left="5776" w:hanging="1800"/>
      </w:pPr>
      <w:rPr>
        <w:rFonts w:hint="default"/>
        <w:b w:val="0"/>
      </w:rPr>
    </w:lvl>
    <w:lvl w:ilvl="8">
      <w:start w:val="1"/>
      <w:numFmt w:val="decimal"/>
      <w:lvlText w:val="%1.%2.%3.%4.%5.%6.%7.%8.%9."/>
      <w:lvlJc w:val="left"/>
      <w:pPr>
        <w:ind w:left="6344" w:hanging="1800"/>
      </w:pPr>
      <w:rPr>
        <w:rFonts w:hint="default"/>
        <w:b w:val="0"/>
      </w:rPr>
    </w:lvl>
  </w:abstractNum>
  <w:abstractNum w:abstractNumId="9" w15:restartNumberingAfterBreak="0">
    <w:nsid w:val="286E3989"/>
    <w:multiLevelType w:val="multilevel"/>
    <w:tmpl w:val="38B4C0F8"/>
    <w:lvl w:ilvl="0">
      <w:start w:val="1"/>
      <w:numFmt w:val="decimal"/>
      <w:lvlText w:val="%1."/>
      <w:lvlJc w:val="left"/>
      <w:pPr>
        <w:ind w:left="360" w:hanging="360"/>
      </w:pPr>
      <w:rPr>
        <w:rFonts w:hint="default"/>
      </w:rPr>
    </w:lvl>
    <w:lvl w:ilvl="1">
      <w:start w:val="1"/>
      <w:numFmt w:val="decimal"/>
      <w:lvlText w:val="%1.%2."/>
      <w:lvlJc w:val="left"/>
      <w:pPr>
        <w:ind w:left="1288" w:hanging="720"/>
      </w:pPr>
      <w:rPr>
        <w:rFonts w:hint="default"/>
        <w:b w:val="0"/>
        <w:i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287F39AC"/>
    <w:multiLevelType w:val="multilevel"/>
    <w:tmpl w:val="1D3CD37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b w:val="0"/>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2FAE57B5"/>
    <w:multiLevelType w:val="multilevel"/>
    <w:tmpl w:val="E7EAA83E"/>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01A1CD6"/>
    <w:multiLevelType w:val="hybridMultilevel"/>
    <w:tmpl w:val="CC36DC18"/>
    <w:lvl w:ilvl="0" w:tplc="8FD21684">
      <w:start w:val="1"/>
      <w:numFmt w:val="lowerLetter"/>
      <w:lvlText w:val="%1."/>
      <w:lvlJc w:val="left"/>
      <w:pPr>
        <w:ind w:left="1778" w:hanging="360"/>
      </w:pPr>
      <w:rPr>
        <w:rFonts w:hint="default"/>
        <w:i w:val="0"/>
        <w:sz w:val="22"/>
      </w:rPr>
    </w:lvl>
    <w:lvl w:ilvl="1" w:tplc="34090019" w:tentative="1">
      <w:start w:val="1"/>
      <w:numFmt w:val="lowerLetter"/>
      <w:lvlText w:val="%2."/>
      <w:lvlJc w:val="left"/>
      <w:pPr>
        <w:ind w:left="2498" w:hanging="360"/>
      </w:pPr>
    </w:lvl>
    <w:lvl w:ilvl="2" w:tplc="3409001B" w:tentative="1">
      <w:start w:val="1"/>
      <w:numFmt w:val="lowerRoman"/>
      <w:lvlText w:val="%3."/>
      <w:lvlJc w:val="right"/>
      <w:pPr>
        <w:ind w:left="3218" w:hanging="180"/>
      </w:pPr>
    </w:lvl>
    <w:lvl w:ilvl="3" w:tplc="3409000F" w:tentative="1">
      <w:start w:val="1"/>
      <w:numFmt w:val="decimal"/>
      <w:lvlText w:val="%4."/>
      <w:lvlJc w:val="left"/>
      <w:pPr>
        <w:ind w:left="3938" w:hanging="360"/>
      </w:pPr>
    </w:lvl>
    <w:lvl w:ilvl="4" w:tplc="34090019" w:tentative="1">
      <w:start w:val="1"/>
      <w:numFmt w:val="lowerLetter"/>
      <w:lvlText w:val="%5."/>
      <w:lvlJc w:val="left"/>
      <w:pPr>
        <w:ind w:left="4658" w:hanging="360"/>
      </w:pPr>
    </w:lvl>
    <w:lvl w:ilvl="5" w:tplc="3409001B" w:tentative="1">
      <w:start w:val="1"/>
      <w:numFmt w:val="lowerRoman"/>
      <w:lvlText w:val="%6."/>
      <w:lvlJc w:val="right"/>
      <w:pPr>
        <w:ind w:left="5378" w:hanging="180"/>
      </w:pPr>
    </w:lvl>
    <w:lvl w:ilvl="6" w:tplc="3409000F" w:tentative="1">
      <w:start w:val="1"/>
      <w:numFmt w:val="decimal"/>
      <w:lvlText w:val="%7."/>
      <w:lvlJc w:val="left"/>
      <w:pPr>
        <w:ind w:left="6098" w:hanging="360"/>
      </w:pPr>
    </w:lvl>
    <w:lvl w:ilvl="7" w:tplc="34090019" w:tentative="1">
      <w:start w:val="1"/>
      <w:numFmt w:val="lowerLetter"/>
      <w:lvlText w:val="%8."/>
      <w:lvlJc w:val="left"/>
      <w:pPr>
        <w:ind w:left="6818" w:hanging="360"/>
      </w:pPr>
    </w:lvl>
    <w:lvl w:ilvl="8" w:tplc="3409001B" w:tentative="1">
      <w:start w:val="1"/>
      <w:numFmt w:val="lowerRoman"/>
      <w:lvlText w:val="%9."/>
      <w:lvlJc w:val="right"/>
      <w:pPr>
        <w:ind w:left="7538" w:hanging="180"/>
      </w:pPr>
    </w:lvl>
  </w:abstractNum>
  <w:abstractNum w:abstractNumId="13" w15:restartNumberingAfterBreak="0">
    <w:nsid w:val="3A383E2B"/>
    <w:multiLevelType w:val="hybridMultilevel"/>
    <w:tmpl w:val="70480D06"/>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3DA77935"/>
    <w:multiLevelType w:val="multilevel"/>
    <w:tmpl w:val="E23CDB1C"/>
    <w:lvl w:ilvl="0">
      <w:start w:val="5"/>
      <w:numFmt w:val="decimal"/>
      <w:lvlText w:val="%1."/>
      <w:lvlJc w:val="left"/>
      <w:pPr>
        <w:ind w:left="360" w:hanging="360"/>
      </w:pPr>
      <w:rPr>
        <w:rFonts w:hint="default"/>
      </w:rPr>
    </w:lvl>
    <w:lvl w:ilvl="1">
      <w:start w:val="1"/>
      <w:numFmt w:val="decimal"/>
      <w:lvlText w:val="%1.%2."/>
      <w:lvlJc w:val="left"/>
      <w:pPr>
        <w:ind w:left="1146" w:hanging="72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FF02AD3"/>
    <w:multiLevelType w:val="multilevel"/>
    <w:tmpl w:val="CA188252"/>
    <w:lvl w:ilvl="0">
      <w:start w:val="6"/>
      <w:numFmt w:val="decimal"/>
      <w:lvlText w:val="%1."/>
      <w:lvlJc w:val="left"/>
      <w:pPr>
        <w:ind w:left="360" w:hanging="360"/>
      </w:pPr>
      <w:rPr>
        <w:rFonts w:hint="default"/>
        <w:b w:val="0"/>
      </w:rPr>
    </w:lvl>
    <w:lvl w:ilvl="1">
      <w:start w:val="1"/>
      <w:numFmt w:val="decimal"/>
      <w:lvlText w:val="%1.%2."/>
      <w:lvlJc w:val="left"/>
      <w:pPr>
        <w:ind w:left="2138" w:hanging="720"/>
      </w:pPr>
      <w:rPr>
        <w:rFonts w:hint="default"/>
        <w:b w:val="0"/>
        <w:sz w:val="22"/>
        <w:szCs w:val="22"/>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144" w:hanging="1800"/>
      </w:pPr>
      <w:rPr>
        <w:rFonts w:hint="default"/>
        <w:b w:val="0"/>
      </w:rPr>
    </w:lvl>
  </w:abstractNum>
  <w:abstractNum w:abstractNumId="16" w15:restartNumberingAfterBreak="0">
    <w:nsid w:val="40512FF4"/>
    <w:multiLevelType w:val="hybridMultilevel"/>
    <w:tmpl w:val="84A8869E"/>
    <w:lvl w:ilvl="0" w:tplc="99E6A11E">
      <w:start w:val="1"/>
      <w:numFmt w:val="low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17" w15:restartNumberingAfterBreak="0">
    <w:nsid w:val="42880F1B"/>
    <w:multiLevelType w:val="multilevel"/>
    <w:tmpl w:val="A4C8074A"/>
    <w:styleLink w:val="Style1"/>
    <w:lvl w:ilvl="0">
      <w:start w:val="1"/>
      <w:numFmt w:val="decimal"/>
      <w:lvlText w:val="%1."/>
      <w:lvlJc w:val="left"/>
      <w:pPr>
        <w:ind w:left="1080" w:hanging="360"/>
      </w:pPr>
      <w:rPr>
        <w:b w:val="0"/>
        <w:bCs/>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8" w15:restartNumberingAfterBreak="0">
    <w:nsid w:val="446D5F7B"/>
    <w:multiLevelType w:val="multilevel"/>
    <w:tmpl w:val="44028AAE"/>
    <w:lvl w:ilvl="0">
      <w:start w:val="9"/>
      <w:numFmt w:val="decimal"/>
      <w:lvlText w:val="%1."/>
      <w:lvlJc w:val="left"/>
      <w:pPr>
        <w:ind w:left="360" w:hanging="360"/>
      </w:pPr>
      <w:rPr>
        <w:rFonts w:hint="default"/>
      </w:rPr>
    </w:lvl>
    <w:lvl w:ilvl="1">
      <w:start w:val="1"/>
      <w:numFmt w:val="decimal"/>
      <w:lvlText w:val="%1.%2."/>
      <w:lvlJc w:val="left"/>
      <w:pPr>
        <w:ind w:left="1146" w:hanging="72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458A71F1"/>
    <w:multiLevelType w:val="hybridMultilevel"/>
    <w:tmpl w:val="E9B2165A"/>
    <w:lvl w:ilvl="0" w:tplc="34090019">
      <w:start w:val="1"/>
      <w:numFmt w:val="lowerLetter"/>
      <w:lvlText w:val="%1."/>
      <w:lvlJc w:val="left"/>
      <w:pPr>
        <w:ind w:left="2700" w:hanging="360"/>
      </w:pPr>
    </w:lvl>
    <w:lvl w:ilvl="1" w:tplc="34090019" w:tentative="1">
      <w:start w:val="1"/>
      <w:numFmt w:val="lowerLetter"/>
      <w:lvlText w:val="%2."/>
      <w:lvlJc w:val="left"/>
      <w:pPr>
        <w:ind w:left="3420" w:hanging="360"/>
      </w:pPr>
    </w:lvl>
    <w:lvl w:ilvl="2" w:tplc="3409001B" w:tentative="1">
      <w:start w:val="1"/>
      <w:numFmt w:val="lowerRoman"/>
      <w:lvlText w:val="%3."/>
      <w:lvlJc w:val="right"/>
      <w:pPr>
        <w:ind w:left="4140" w:hanging="180"/>
      </w:pPr>
    </w:lvl>
    <w:lvl w:ilvl="3" w:tplc="3409000F" w:tentative="1">
      <w:start w:val="1"/>
      <w:numFmt w:val="decimal"/>
      <w:lvlText w:val="%4."/>
      <w:lvlJc w:val="left"/>
      <w:pPr>
        <w:ind w:left="4860" w:hanging="360"/>
      </w:pPr>
    </w:lvl>
    <w:lvl w:ilvl="4" w:tplc="34090019" w:tentative="1">
      <w:start w:val="1"/>
      <w:numFmt w:val="lowerLetter"/>
      <w:lvlText w:val="%5."/>
      <w:lvlJc w:val="left"/>
      <w:pPr>
        <w:ind w:left="5580" w:hanging="360"/>
      </w:pPr>
    </w:lvl>
    <w:lvl w:ilvl="5" w:tplc="3409001B" w:tentative="1">
      <w:start w:val="1"/>
      <w:numFmt w:val="lowerRoman"/>
      <w:lvlText w:val="%6."/>
      <w:lvlJc w:val="right"/>
      <w:pPr>
        <w:ind w:left="6300" w:hanging="180"/>
      </w:pPr>
    </w:lvl>
    <w:lvl w:ilvl="6" w:tplc="3409000F" w:tentative="1">
      <w:start w:val="1"/>
      <w:numFmt w:val="decimal"/>
      <w:lvlText w:val="%7."/>
      <w:lvlJc w:val="left"/>
      <w:pPr>
        <w:ind w:left="7020" w:hanging="360"/>
      </w:pPr>
    </w:lvl>
    <w:lvl w:ilvl="7" w:tplc="34090019" w:tentative="1">
      <w:start w:val="1"/>
      <w:numFmt w:val="lowerLetter"/>
      <w:lvlText w:val="%8."/>
      <w:lvlJc w:val="left"/>
      <w:pPr>
        <w:ind w:left="7740" w:hanging="360"/>
      </w:pPr>
    </w:lvl>
    <w:lvl w:ilvl="8" w:tplc="3409001B" w:tentative="1">
      <w:start w:val="1"/>
      <w:numFmt w:val="lowerRoman"/>
      <w:lvlText w:val="%9."/>
      <w:lvlJc w:val="right"/>
      <w:pPr>
        <w:ind w:left="8460" w:hanging="180"/>
      </w:pPr>
    </w:lvl>
  </w:abstractNum>
  <w:abstractNum w:abstractNumId="20" w15:restartNumberingAfterBreak="0">
    <w:nsid w:val="4DE33E14"/>
    <w:multiLevelType w:val="hybridMultilevel"/>
    <w:tmpl w:val="3C32A03C"/>
    <w:lvl w:ilvl="0" w:tplc="04090015">
      <w:start w:val="1"/>
      <w:numFmt w:val="upperLetter"/>
      <w:lvlText w:val="%1."/>
      <w:lvlJc w:val="left"/>
      <w:pPr>
        <w:ind w:left="720" w:hanging="360"/>
      </w:pPr>
      <w:rPr>
        <w:rFonts w:hint="default"/>
      </w:rPr>
    </w:lvl>
    <w:lvl w:ilvl="1" w:tplc="7CFA185C">
      <w:start w:val="1"/>
      <w:numFmt w:val="lowerLetter"/>
      <w:lvlText w:val="%2."/>
      <w:lvlJc w:val="left"/>
      <w:pPr>
        <w:ind w:left="1635" w:hanging="555"/>
      </w:pPr>
      <w:rPr>
        <w:rFonts w:hint="default"/>
        <w:b/>
        <w:i w:val="0"/>
      </w:rPr>
    </w:lvl>
    <w:lvl w:ilvl="2" w:tplc="9D5EC380">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807638"/>
    <w:multiLevelType w:val="hybridMultilevel"/>
    <w:tmpl w:val="642203D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601F4F29"/>
    <w:multiLevelType w:val="hybridMultilevel"/>
    <w:tmpl w:val="9572C97A"/>
    <w:lvl w:ilvl="0" w:tplc="74D0CD6A">
      <w:start w:val="1"/>
      <w:numFmt w:val="lowerRoman"/>
      <w:lvlText w:val="%1."/>
      <w:lvlJc w:val="left"/>
      <w:pPr>
        <w:ind w:left="1713" w:hanging="720"/>
      </w:pPr>
      <w:rPr>
        <w:rFonts w:ascii="Arial" w:hAnsi="Arial" w:cs="Arial" w:hint="default"/>
        <w:i/>
      </w:rPr>
    </w:lvl>
    <w:lvl w:ilvl="1" w:tplc="DAF45100">
      <w:start w:val="1"/>
      <w:numFmt w:val="lowerLetter"/>
      <w:lvlText w:val="%2."/>
      <w:lvlJc w:val="left"/>
      <w:pPr>
        <w:ind w:left="2073" w:hanging="360"/>
      </w:pPr>
      <w:rPr>
        <w:rFonts w:hint="default"/>
        <w:b w:val="0"/>
        <w:i w:val="0"/>
      </w:rPr>
    </w:lvl>
    <w:lvl w:ilvl="2" w:tplc="3409001B">
      <w:start w:val="1"/>
      <w:numFmt w:val="lowerRoman"/>
      <w:lvlText w:val="%3."/>
      <w:lvlJc w:val="right"/>
      <w:pPr>
        <w:ind w:left="2793" w:hanging="180"/>
      </w:pPr>
    </w:lvl>
    <w:lvl w:ilvl="3" w:tplc="3409000F">
      <w:start w:val="1"/>
      <w:numFmt w:val="decimal"/>
      <w:lvlText w:val="%4."/>
      <w:lvlJc w:val="left"/>
      <w:pPr>
        <w:ind w:left="3513" w:hanging="360"/>
      </w:pPr>
    </w:lvl>
    <w:lvl w:ilvl="4" w:tplc="4812431C">
      <w:start w:val="1"/>
      <w:numFmt w:val="lowerLetter"/>
      <w:lvlText w:val="%5."/>
      <w:lvlJc w:val="left"/>
      <w:pPr>
        <w:ind w:left="4233" w:hanging="360"/>
      </w:pPr>
      <w:rPr>
        <w:b/>
        <w:i w:val="0"/>
      </w:rPr>
    </w:lvl>
    <w:lvl w:ilvl="5" w:tplc="3409001B">
      <w:start w:val="1"/>
      <w:numFmt w:val="lowerRoman"/>
      <w:lvlText w:val="%6."/>
      <w:lvlJc w:val="right"/>
      <w:pPr>
        <w:ind w:left="4953" w:hanging="180"/>
      </w:pPr>
    </w:lvl>
    <w:lvl w:ilvl="6" w:tplc="3409000F">
      <w:start w:val="1"/>
      <w:numFmt w:val="decimal"/>
      <w:lvlText w:val="%7."/>
      <w:lvlJc w:val="left"/>
      <w:pPr>
        <w:ind w:left="5673" w:hanging="360"/>
      </w:pPr>
    </w:lvl>
    <w:lvl w:ilvl="7" w:tplc="34090019">
      <w:start w:val="1"/>
      <w:numFmt w:val="lowerLetter"/>
      <w:lvlText w:val="%8."/>
      <w:lvlJc w:val="left"/>
      <w:pPr>
        <w:ind w:left="6393" w:hanging="360"/>
      </w:pPr>
    </w:lvl>
    <w:lvl w:ilvl="8" w:tplc="3409001B">
      <w:start w:val="1"/>
      <w:numFmt w:val="lowerRoman"/>
      <w:lvlText w:val="%9."/>
      <w:lvlJc w:val="right"/>
      <w:pPr>
        <w:ind w:left="7113" w:hanging="180"/>
      </w:pPr>
    </w:lvl>
  </w:abstractNum>
  <w:abstractNum w:abstractNumId="23" w15:restartNumberingAfterBreak="0">
    <w:nsid w:val="619613D3"/>
    <w:multiLevelType w:val="hybridMultilevel"/>
    <w:tmpl w:val="CA2806E0"/>
    <w:lvl w:ilvl="0" w:tplc="F7C4C818">
      <w:start w:val="1"/>
      <w:numFmt w:val="lowerLetter"/>
      <w:lvlText w:val="%1."/>
      <w:lvlJc w:val="left"/>
      <w:pPr>
        <w:ind w:left="1440" w:hanging="360"/>
      </w:pPr>
      <w:rPr>
        <w:rFonts w:hint="default"/>
        <w:b/>
        <w:color w:val="000000" w:themeColor="text1"/>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4" w15:restartNumberingAfterBreak="0">
    <w:nsid w:val="6CC47B5E"/>
    <w:multiLevelType w:val="multilevel"/>
    <w:tmpl w:val="B92EAF70"/>
    <w:lvl w:ilvl="0">
      <w:start w:val="2"/>
      <w:numFmt w:val="decimal"/>
      <w:lvlText w:val="%1."/>
      <w:lvlJc w:val="left"/>
      <w:pPr>
        <w:ind w:left="360" w:hanging="360"/>
      </w:pPr>
      <w:rPr>
        <w:rFonts w:hint="default"/>
        <w:b w:val="0"/>
      </w:rPr>
    </w:lvl>
    <w:lvl w:ilvl="1">
      <w:start w:val="1"/>
      <w:numFmt w:val="decimal"/>
      <w:lvlText w:val="%1.%2."/>
      <w:lvlJc w:val="left"/>
      <w:pPr>
        <w:ind w:left="1288" w:hanging="720"/>
      </w:pPr>
      <w:rPr>
        <w:rFonts w:hint="default"/>
        <w:b w:val="0"/>
        <w:i w:val="0"/>
        <w:sz w:val="22"/>
        <w:szCs w:val="22"/>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4280" w:hanging="1440"/>
      </w:pPr>
      <w:rPr>
        <w:rFonts w:hint="default"/>
        <w:b w:val="0"/>
      </w:rPr>
    </w:lvl>
    <w:lvl w:ilvl="6">
      <w:start w:val="1"/>
      <w:numFmt w:val="decimal"/>
      <w:lvlText w:val="%1.%2.%3.%4.%5.%6.%7."/>
      <w:lvlJc w:val="left"/>
      <w:pPr>
        <w:ind w:left="4848" w:hanging="1440"/>
      </w:pPr>
      <w:rPr>
        <w:rFonts w:hint="default"/>
        <w:b w:val="0"/>
      </w:rPr>
    </w:lvl>
    <w:lvl w:ilvl="7">
      <w:start w:val="1"/>
      <w:numFmt w:val="decimal"/>
      <w:lvlText w:val="%1.%2.%3.%4.%5.%6.%7.%8."/>
      <w:lvlJc w:val="left"/>
      <w:pPr>
        <w:ind w:left="5776" w:hanging="1800"/>
      </w:pPr>
      <w:rPr>
        <w:rFonts w:hint="default"/>
        <w:b w:val="0"/>
      </w:rPr>
    </w:lvl>
    <w:lvl w:ilvl="8">
      <w:start w:val="1"/>
      <w:numFmt w:val="decimal"/>
      <w:lvlText w:val="%1.%2.%3.%4.%5.%6.%7.%8.%9."/>
      <w:lvlJc w:val="left"/>
      <w:pPr>
        <w:ind w:left="6344" w:hanging="1800"/>
      </w:pPr>
      <w:rPr>
        <w:rFonts w:hint="default"/>
        <w:b w:val="0"/>
      </w:rPr>
    </w:lvl>
  </w:abstractNum>
  <w:abstractNum w:abstractNumId="25" w15:restartNumberingAfterBreak="0">
    <w:nsid w:val="781C2C64"/>
    <w:multiLevelType w:val="hybridMultilevel"/>
    <w:tmpl w:val="0A2C7490"/>
    <w:lvl w:ilvl="0" w:tplc="40428276">
      <w:start w:val="1"/>
      <w:numFmt w:val="lowerLetter"/>
      <w:lvlText w:val="%1."/>
      <w:lvlJc w:val="left"/>
      <w:pPr>
        <w:ind w:left="2160" w:hanging="360"/>
      </w:pPr>
      <w:rPr>
        <w:b/>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6" w15:restartNumberingAfterBreak="0">
    <w:nsid w:val="7F7173AB"/>
    <w:multiLevelType w:val="multilevel"/>
    <w:tmpl w:val="F3DC033C"/>
    <w:lvl w:ilvl="0">
      <w:start w:val="9"/>
      <w:numFmt w:val="decimal"/>
      <w:lvlText w:val="%1"/>
      <w:lvlJc w:val="left"/>
      <w:pPr>
        <w:ind w:left="360" w:hanging="360"/>
      </w:pPr>
      <w:rPr>
        <w:rFonts w:hint="default"/>
      </w:rPr>
    </w:lvl>
    <w:lvl w:ilvl="1">
      <w:start w:val="1"/>
      <w:numFmt w:val="decimal"/>
      <w:lvlText w:val="%1.%2"/>
      <w:lvlJc w:val="left"/>
      <w:pPr>
        <w:ind w:left="1170" w:hanging="360"/>
      </w:pPr>
      <w:rPr>
        <w:rFonts w:hint="default"/>
        <w:i w:val="0"/>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num w:numId="1">
    <w:abstractNumId w:val="7"/>
  </w:num>
  <w:num w:numId="2">
    <w:abstractNumId w:val="20"/>
  </w:num>
  <w:num w:numId="3">
    <w:abstractNumId w:val="10"/>
  </w:num>
  <w:num w:numId="4">
    <w:abstractNumId w:val="23"/>
  </w:num>
  <w:num w:numId="5">
    <w:abstractNumId w:val="4"/>
  </w:num>
  <w:num w:numId="6">
    <w:abstractNumId w:val="1"/>
  </w:num>
  <w:num w:numId="7">
    <w:abstractNumId w:val="26"/>
  </w:num>
  <w:num w:numId="8">
    <w:abstractNumId w:val="17"/>
  </w:num>
  <w:num w:numId="9">
    <w:abstractNumId w:val="0"/>
  </w:num>
  <w:num w:numId="10">
    <w:abstractNumId w:val="12"/>
  </w:num>
  <w:num w:numId="11">
    <w:abstractNumId w:val="25"/>
  </w:num>
  <w:num w:numId="12">
    <w:abstractNumId w:val="22"/>
  </w:num>
  <w:num w:numId="13">
    <w:abstractNumId w:val="16"/>
  </w:num>
  <w:num w:numId="14">
    <w:abstractNumId w:val="21"/>
  </w:num>
  <w:num w:numId="15">
    <w:abstractNumId w:val="9"/>
  </w:num>
  <w:num w:numId="16">
    <w:abstractNumId w:val="24"/>
  </w:num>
  <w:num w:numId="17">
    <w:abstractNumId w:val="8"/>
  </w:num>
  <w:num w:numId="18">
    <w:abstractNumId w:val="19"/>
  </w:num>
  <w:num w:numId="19">
    <w:abstractNumId w:val="2"/>
  </w:num>
  <w:num w:numId="20">
    <w:abstractNumId w:val="14"/>
  </w:num>
  <w:num w:numId="21">
    <w:abstractNumId w:val="15"/>
  </w:num>
  <w:num w:numId="22">
    <w:abstractNumId w:val="3"/>
  </w:num>
  <w:num w:numId="23">
    <w:abstractNumId w:val="13"/>
  </w:num>
  <w:num w:numId="24">
    <w:abstractNumId w:val="11"/>
  </w:num>
  <w:num w:numId="25">
    <w:abstractNumId w:val="18"/>
  </w:num>
  <w:num w:numId="26">
    <w:abstractNumId w:val="5"/>
  </w:num>
  <w:num w:numId="27">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cumentProtection w:edit="forms" w:enforcement="1" w:cryptProviderType="rsaAES" w:cryptAlgorithmClass="hash" w:cryptAlgorithmType="typeAny" w:cryptAlgorithmSid="14" w:cryptSpinCount="100000" w:hash="JVdRCk/pejYPAblhta6qLdQmbk/TH7dW19N7lQlqA08OyJMY+iKOolBbyO8TX8yIojkPbERjfge7BG0UpULk4w==" w:salt="VFeRKUvZ57oh9S6c4MKf7Q=="/>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F6EBC5E-2586-47D6-881E-D0434A41D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Colorful List - Accent 11"/>
    <w:basedOn w:val="Normal"/>
    <w:link w:val="ListParagraphChar"/>
    <w:uiPriority w:val="34"/>
    <w:qFormat/>
    <w:pPr>
      <w:spacing w:after="0" w:line="240" w:lineRule="auto"/>
      <w:ind w:left="720"/>
    </w:pPr>
    <w:rPr>
      <w:rFonts w:ascii="Times New Roman" w:eastAsia="Times New Roman" w:hAnsi="Times New Roman" w:cs="Times New Roman"/>
      <w:sz w:val="24"/>
      <w:szCs w:val="24"/>
      <w:lang w:val="en-US"/>
    </w:rPr>
  </w:style>
  <w:style w:type="table" w:styleId="TableGrid">
    <w:name w:val="Table Grid"/>
    <w:basedOn w:val="TableNormal"/>
    <w:uiPriority w:val="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pPr>
      <w:spacing w:after="0" w:line="240" w:lineRule="auto"/>
      <w:jc w:val="center"/>
    </w:pPr>
    <w:rPr>
      <w:rFonts w:ascii="Times New Roman" w:eastAsia="Times New Roman" w:hAnsi="Times New Roman" w:cs="Times New Roman"/>
      <w:b/>
      <w:sz w:val="24"/>
      <w:szCs w:val="20"/>
      <w:lang w:val="en-US" w:eastAsia="ar-SA"/>
    </w:rPr>
  </w:style>
  <w:style w:type="character" w:customStyle="1" w:styleId="SubtitleChar">
    <w:name w:val="Subtitle Char"/>
    <w:basedOn w:val="DefaultParagraphFont"/>
    <w:link w:val="Subtitle"/>
    <w:rPr>
      <w:rFonts w:ascii="Times New Roman" w:eastAsia="Times New Roman" w:hAnsi="Times New Roman" w:cs="Times New Roman"/>
      <w:b/>
      <w:sz w:val="24"/>
      <w:szCs w:val="20"/>
      <w:lang w:val="en-US" w:eastAsia="ar-SA"/>
    </w:rPr>
  </w:style>
  <w:style w:type="character" w:customStyle="1" w:styleId="ListParagraphChar">
    <w:name w:val="List Paragraph Char"/>
    <w:aliases w:val="Resume Title Char,List Paragraph1 Char,Colorful List - Accent 11 Char"/>
    <w:link w:val="ListParagraph"/>
    <w:uiPriority w:val="34"/>
    <w:qFormat/>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pPr>
      <w:suppressAutoHyphens/>
      <w:spacing w:after="0" w:line="240" w:lineRule="auto"/>
      <w:ind w:firstLine="720"/>
      <w:jc w:val="both"/>
    </w:pPr>
    <w:rPr>
      <w:rFonts w:ascii="Arial" w:eastAsia="Times New Roman" w:hAnsi="Arial" w:cs="Times New Roman"/>
      <w:sz w:val="20"/>
      <w:szCs w:val="20"/>
      <w:lang w:val="en-US" w:eastAsia="ar-SA"/>
    </w:rPr>
  </w:style>
  <w:style w:type="character" w:customStyle="1" w:styleId="HeaderChar">
    <w:name w:val="Header Char"/>
    <w:basedOn w:val="DefaultParagraphFont"/>
    <w:link w:val="Header"/>
    <w:uiPriority w:val="99"/>
    <w:rPr>
      <w:rFonts w:ascii="Arial" w:eastAsia="Times New Roman" w:hAnsi="Arial" w:cs="Times New Roman"/>
      <w:sz w:val="20"/>
      <w:szCs w:val="20"/>
      <w:lang w:val="en-US" w:eastAsia="ar-SA"/>
    </w:rPr>
  </w:style>
  <w:style w:type="paragraph" w:styleId="NoSpacing">
    <w:name w:val="No Spacing"/>
    <w:link w:val="NoSpacingChar"/>
    <w:qFormat/>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SpacingChar">
    <w:name w:val="No Spacing Char"/>
    <w:link w:val="NoSpacing"/>
    <w:uiPriority w:val="1"/>
    <w:locked/>
    <w:rPr>
      <w:rFonts w:ascii="Calibri" w:eastAsia="Calibri" w:hAnsi="Calibri" w:cs="Times New Roman"/>
    </w:rPr>
  </w:style>
  <w:style w:type="paragraph" w:styleId="BodyTextIndent">
    <w:name w:val="Body Text Indent"/>
    <w:basedOn w:val="Normal"/>
    <w:link w:val="BodyTextIndentChar"/>
    <w:uiPriority w:val="99"/>
    <w:semiHidden/>
    <w:unhideWhenUsed/>
    <w:pPr>
      <w:spacing w:after="120" w:line="276" w:lineRule="auto"/>
      <w:ind w:left="360"/>
    </w:pPr>
    <w:rPr>
      <w:rFonts w:ascii="Calibri" w:eastAsia="Calibri" w:hAnsi="Calibri" w:cs="Times New Roman"/>
      <w:lang w:val="en-US"/>
    </w:rPr>
  </w:style>
  <w:style w:type="character" w:customStyle="1" w:styleId="BodyTextIndentChar">
    <w:name w:val="Body Text Indent Char"/>
    <w:basedOn w:val="DefaultParagraphFont"/>
    <w:link w:val="BodyTextIndent"/>
    <w:uiPriority w:val="99"/>
    <w:semiHidden/>
    <w:rPr>
      <w:rFonts w:ascii="Calibri" w:eastAsia="Calibri" w:hAnsi="Calibri" w:cs="Times New Roman"/>
      <w:lang w:val="en-US"/>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Title">
    <w:name w:val="Title"/>
    <w:basedOn w:val="Normal"/>
    <w:link w:val="TitleChar"/>
    <w:qFormat/>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Pr>
      <w:rFonts w:ascii="Times New Roman" w:eastAsia="Times New Roman" w:hAnsi="Times New Roman" w:cs="Times New Roman"/>
      <w:b/>
      <w:sz w:val="24"/>
      <w:szCs w:val="20"/>
      <w:lang w:val="en-US"/>
    </w:rPr>
  </w:style>
  <w:style w:type="numbering" w:customStyle="1" w:styleId="Style1">
    <w:name w:val="Style1"/>
    <w:uiPriority w:val="99"/>
    <w:pPr>
      <w:numPr>
        <w:numId w:val="8"/>
      </w:numPr>
    </w:p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character" w:styleId="Hyperlink">
    <w:name w:val="Hyperlink"/>
    <w:basedOn w:val="DefaultParagraphFont"/>
    <w:uiPriority w:val="99"/>
    <w:unhideWhenUsed/>
    <w:rPr>
      <w:color w:val="0563C1" w:themeColor="hyperlink"/>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99808">
      <w:bodyDiv w:val="1"/>
      <w:marLeft w:val="0"/>
      <w:marRight w:val="0"/>
      <w:marTop w:val="0"/>
      <w:marBottom w:val="0"/>
      <w:divBdr>
        <w:top w:val="none" w:sz="0" w:space="0" w:color="auto"/>
        <w:left w:val="none" w:sz="0" w:space="0" w:color="auto"/>
        <w:bottom w:val="none" w:sz="0" w:space="0" w:color="auto"/>
        <w:right w:val="none" w:sz="0" w:space="0" w:color="auto"/>
      </w:divBdr>
    </w:div>
    <w:div w:id="284699625">
      <w:bodyDiv w:val="1"/>
      <w:marLeft w:val="0"/>
      <w:marRight w:val="0"/>
      <w:marTop w:val="0"/>
      <w:marBottom w:val="0"/>
      <w:divBdr>
        <w:top w:val="none" w:sz="0" w:space="0" w:color="auto"/>
        <w:left w:val="none" w:sz="0" w:space="0" w:color="auto"/>
        <w:bottom w:val="none" w:sz="0" w:space="0" w:color="auto"/>
        <w:right w:val="none" w:sz="0" w:space="0" w:color="auto"/>
      </w:divBdr>
    </w:div>
    <w:div w:id="325594028">
      <w:bodyDiv w:val="1"/>
      <w:marLeft w:val="0"/>
      <w:marRight w:val="0"/>
      <w:marTop w:val="0"/>
      <w:marBottom w:val="0"/>
      <w:divBdr>
        <w:top w:val="none" w:sz="0" w:space="0" w:color="auto"/>
        <w:left w:val="none" w:sz="0" w:space="0" w:color="auto"/>
        <w:bottom w:val="none" w:sz="0" w:space="0" w:color="auto"/>
        <w:right w:val="none" w:sz="0" w:space="0" w:color="auto"/>
      </w:divBdr>
    </w:div>
    <w:div w:id="348483114">
      <w:bodyDiv w:val="1"/>
      <w:marLeft w:val="0"/>
      <w:marRight w:val="0"/>
      <w:marTop w:val="0"/>
      <w:marBottom w:val="0"/>
      <w:divBdr>
        <w:top w:val="none" w:sz="0" w:space="0" w:color="auto"/>
        <w:left w:val="none" w:sz="0" w:space="0" w:color="auto"/>
        <w:bottom w:val="none" w:sz="0" w:space="0" w:color="auto"/>
        <w:right w:val="none" w:sz="0" w:space="0" w:color="auto"/>
      </w:divBdr>
    </w:div>
    <w:div w:id="458452203">
      <w:bodyDiv w:val="1"/>
      <w:marLeft w:val="0"/>
      <w:marRight w:val="0"/>
      <w:marTop w:val="0"/>
      <w:marBottom w:val="0"/>
      <w:divBdr>
        <w:top w:val="none" w:sz="0" w:space="0" w:color="auto"/>
        <w:left w:val="none" w:sz="0" w:space="0" w:color="auto"/>
        <w:bottom w:val="none" w:sz="0" w:space="0" w:color="auto"/>
        <w:right w:val="none" w:sz="0" w:space="0" w:color="auto"/>
      </w:divBdr>
    </w:div>
    <w:div w:id="562762648">
      <w:bodyDiv w:val="1"/>
      <w:marLeft w:val="0"/>
      <w:marRight w:val="0"/>
      <w:marTop w:val="0"/>
      <w:marBottom w:val="0"/>
      <w:divBdr>
        <w:top w:val="none" w:sz="0" w:space="0" w:color="auto"/>
        <w:left w:val="none" w:sz="0" w:space="0" w:color="auto"/>
        <w:bottom w:val="none" w:sz="0" w:space="0" w:color="auto"/>
        <w:right w:val="none" w:sz="0" w:space="0" w:color="auto"/>
      </w:divBdr>
    </w:div>
    <w:div w:id="632759932">
      <w:bodyDiv w:val="1"/>
      <w:marLeft w:val="0"/>
      <w:marRight w:val="0"/>
      <w:marTop w:val="0"/>
      <w:marBottom w:val="0"/>
      <w:divBdr>
        <w:top w:val="none" w:sz="0" w:space="0" w:color="auto"/>
        <w:left w:val="none" w:sz="0" w:space="0" w:color="auto"/>
        <w:bottom w:val="none" w:sz="0" w:space="0" w:color="auto"/>
        <w:right w:val="none" w:sz="0" w:space="0" w:color="auto"/>
      </w:divBdr>
    </w:div>
    <w:div w:id="650521846">
      <w:bodyDiv w:val="1"/>
      <w:marLeft w:val="0"/>
      <w:marRight w:val="0"/>
      <w:marTop w:val="0"/>
      <w:marBottom w:val="0"/>
      <w:divBdr>
        <w:top w:val="none" w:sz="0" w:space="0" w:color="auto"/>
        <w:left w:val="none" w:sz="0" w:space="0" w:color="auto"/>
        <w:bottom w:val="none" w:sz="0" w:space="0" w:color="auto"/>
        <w:right w:val="none" w:sz="0" w:space="0" w:color="auto"/>
      </w:divBdr>
    </w:div>
    <w:div w:id="807165929">
      <w:bodyDiv w:val="1"/>
      <w:marLeft w:val="0"/>
      <w:marRight w:val="0"/>
      <w:marTop w:val="0"/>
      <w:marBottom w:val="0"/>
      <w:divBdr>
        <w:top w:val="none" w:sz="0" w:space="0" w:color="auto"/>
        <w:left w:val="none" w:sz="0" w:space="0" w:color="auto"/>
        <w:bottom w:val="none" w:sz="0" w:space="0" w:color="auto"/>
        <w:right w:val="none" w:sz="0" w:space="0" w:color="auto"/>
      </w:divBdr>
    </w:div>
    <w:div w:id="834607280">
      <w:bodyDiv w:val="1"/>
      <w:marLeft w:val="0"/>
      <w:marRight w:val="0"/>
      <w:marTop w:val="0"/>
      <w:marBottom w:val="0"/>
      <w:divBdr>
        <w:top w:val="none" w:sz="0" w:space="0" w:color="auto"/>
        <w:left w:val="none" w:sz="0" w:space="0" w:color="auto"/>
        <w:bottom w:val="none" w:sz="0" w:space="0" w:color="auto"/>
        <w:right w:val="none" w:sz="0" w:space="0" w:color="auto"/>
      </w:divBdr>
    </w:div>
    <w:div w:id="914821317">
      <w:bodyDiv w:val="1"/>
      <w:marLeft w:val="0"/>
      <w:marRight w:val="0"/>
      <w:marTop w:val="0"/>
      <w:marBottom w:val="0"/>
      <w:divBdr>
        <w:top w:val="none" w:sz="0" w:space="0" w:color="auto"/>
        <w:left w:val="none" w:sz="0" w:space="0" w:color="auto"/>
        <w:bottom w:val="none" w:sz="0" w:space="0" w:color="auto"/>
        <w:right w:val="none" w:sz="0" w:space="0" w:color="auto"/>
      </w:divBdr>
    </w:div>
    <w:div w:id="917976774">
      <w:bodyDiv w:val="1"/>
      <w:marLeft w:val="0"/>
      <w:marRight w:val="0"/>
      <w:marTop w:val="0"/>
      <w:marBottom w:val="0"/>
      <w:divBdr>
        <w:top w:val="none" w:sz="0" w:space="0" w:color="auto"/>
        <w:left w:val="none" w:sz="0" w:space="0" w:color="auto"/>
        <w:bottom w:val="none" w:sz="0" w:space="0" w:color="auto"/>
        <w:right w:val="none" w:sz="0" w:space="0" w:color="auto"/>
      </w:divBdr>
    </w:div>
    <w:div w:id="992565239">
      <w:bodyDiv w:val="1"/>
      <w:marLeft w:val="0"/>
      <w:marRight w:val="0"/>
      <w:marTop w:val="0"/>
      <w:marBottom w:val="0"/>
      <w:divBdr>
        <w:top w:val="none" w:sz="0" w:space="0" w:color="auto"/>
        <w:left w:val="none" w:sz="0" w:space="0" w:color="auto"/>
        <w:bottom w:val="none" w:sz="0" w:space="0" w:color="auto"/>
        <w:right w:val="none" w:sz="0" w:space="0" w:color="auto"/>
      </w:divBdr>
    </w:div>
    <w:div w:id="1022777859">
      <w:bodyDiv w:val="1"/>
      <w:marLeft w:val="0"/>
      <w:marRight w:val="0"/>
      <w:marTop w:val="0"/>
      <w:marBottom w:val="0"/>
      <w:divBdr>
        <w:top w:val="none" w:sz="0" w:space="0" w:color="auto"/>
        <w:left w:val="none" w:sz="0" w:space="0" w:color="auto"/>
        <w:bottom w:val="none" w:sz="0" w:space="0" w:color="auto"/>
        <w:right w:val="none" w:sz="0" w:space="0" w:color="auto"/>
      </w:divBdr>
    </w:div>
    <w:div w:id="1345666350">
      <w:bodyDiv w:val="1"/>
      <w:marLeft w:val="0"/>
      <w:marRight w:val="0"/>
      <w:marTop w:val="0"/>
      <w:marBottom w:val="0"/>
      <w:divBdr>
        <w:top w:val="none" w:sz="0" w:space="0" w:color="auto"/>
        <w:left w:val="none" w:sz="0" w:space="0" w:color="auto"/>
        <w:bottom w:val="none" w:sz="0" w:space="0" w:color="auto"/>
        <w:right w:val="none" w:sz="0" w:space="0" w:color="auto"/>
      </w:divBdr>
    </w:div>
    <w:div w:id="1451513689">
      <w:bodyDiv w:val="1"/>
      <w:marLeft w:val="0"/>
      <w:marRight w:val="0"/>
      <w:marTop w:val="0"/>
      <w:marBottom w:val="0"/>
      <w:divBdr>
        <w:top w:val="none" w:sz="0" w:space="0" w:color="auto"/>
        <w:left w:val="none" w:sz="0" w:space="0" w:color="auto"/>
        <w:bottom w:val="none" w:sz="0" w:space="0" w:color="auto"/>
        <w:right w:val="none" w:sz="0" w:space="0" w:color="auto"/>
      </w:divBdr>
    </w:div>
    <w:div w:id="1556161212">
      <w:bodyDiv w:val="1"/>
      <w:marLeft w:val="0"/>
      <w:marRight w:val="0"/>
      <w:marTop w:val="0"/>
      <w:marBottom w:val="0"/>
      <w:divBdr>
        <w:top w:val="none" w:sz="0" w:space="0" w:color="auto"/>
        <w:left w:val="none" w:sz="0" w:space="0" w:color="auto"/>
        <w:bottom w:val="none" w:sz="0" w:space="0" w:color="auto"/>
        <w:right w:val="none" w:sz="0" w:space="0" w:color="auto"/>
      </w:divBdr>
    </w:div>
    <w:div w:id="1688212282">
      <w:bodyDiv w:val="1"/>
      <w:marLeft w:val="0"/>
      <w:marRight w:val="0"/>
      <w:marTop w:val="0"/>
      <w:marBottom w:val="0"/>
      <w:divBdr>
        <w:top w:val="none" w:sz="0" w:space="0" w:color="auto"/>
        <w:left w:val="none" w:sz="0" w:space="0" w:color="auto"/>
        <w:bottom w:val="none" w:sz="0" w:space="0" w:color="auto"/>
        <w:right w:val="none" w:sz="0" w:space="0" w:color="auto"/>
      </w:divBdr>
    </w:div>
    <w:div w:id="1818640600">
      <w:bodyDiv w:val="1"/>
      <w:marLeft w:val="0"/>
      <w:marRight w:val="0"/>
      <w:marTop w:val="0"/>
      <w:marBottom w:val="0"/>
      <w:divBdr>
        <w:top w:val="none" w:sz="0" w:space="0" w:color="auto"/>
        <w:left w:val="none" w:sz="0" w:space="0" w:color="auto"/>
        <w:bottom w:val="none" w:sz="0" w:space="0" w:color="auto"/>
        <w:right w:val="none" w:sz="0" w:space="0" w:color="auto"/>
      </w:divBdr>
    </w:div>
    <w:div w:id="1945188637">
      <w:bodyDiv w:val="1"/>
      <w:marLeft w:val="0"/>
      <w:marRight w:val="0"/>
      <w:marTop w:val="0"/>
      <w:marBottom w:val="0"/>
      <w:divBdr>
        <w:top w:val="none" w:sz="0" w:space="0" w:color="auto"/>
        <w:left w:val="none" w:sz="0" w:space="0" w:color="auto"/>
        <w:bottom w:val="none" w:sz="0" w:space="0" w:color="auto"/>
        <w:right w:val="none" w:sz="0" w:space="0" w:color="auto"/>
      </w:divBdr>
    </w:div>
    <w:div w:id="206695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85CFE-1FB7-4303-BAEF-BFA0C845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1982</TotalTime>
  <Pages>36</Pages>
  <Words>12791</Words>
  <Characters>72915</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Observations and Recommendations</vt:lpstr>
    </vt:vector>
  </TitlesOfParts>
  <Company/>
  <LinksUpToDate>false</LinksUpToDate>
  <CharactersWithSpaces>85535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Observations and Recommendations</dc:title>
  <dc:creator>COA - Philippine Charity Sweepstakes Office</dc:creator>
  <cp:lastModifiedBy>Ben A. Lazo, Jr.</cp:lastModifiedBy>
  <cp:revision>118</cp:revision>
  <cp:lastPrinted>2021-07-27T01:50:00Z</cp:lastPrinted>
  <dcterms:created xsi:type="dcterms:W3CDTF">2021-07-17T11:11:00Z</dcterms:created>
  <dcterms:modified xsi:type="dcterms:W3CDTF">2021-08-02T06:20:00Z</dcterms:modified>
</cp:coreProperties>
</file>