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AFE" w:rsidRPr="007601AB" w:rsidRDefault="00FA18F2" w:rsidP="0044465B">
      <w:pPr>
        <w:spacing w:before="20" w:after="0" w:line="240" w:lineRule="auto"/>
        <w:jc w:val="center"/>
        <w:rPr>
          <w:rFonts w:ascii="Arial" w:eastAsia="Times New Roman" w:hAnsi="Arial" w:cs="Arial"/>
          <w:b/>
          <w:lang w:eastAsia="en-PH"/>
        </w:rPr>
      </w:pPr>
      <w:bookmarkStart w:id="0" w:name="_GoBack"/>
      <w:bookmarkEnd w:id="0"/>
      <w:r w:rsidRPr="007601AB">
        <w:rPr>
          <w:rFonts w:ascii="Arial" w:eastAsia="Times New Roman" w:hAnsi="Arial" w:cs="Arial"/>
          <w:b/>
          <w:lang w:eastAsia="en-PH"/>
        </w:rPr>
        <w:t>D</w:t>
      </w:r>
      <w:r w:rsidR="008D54FD" w:rsidRPr="007601AB">
        <w:rPr>
          <w:rFonts w:ascii="Arial" w:eastAsia="Times New Roman" w:hAnsi="Arial" w:cs="Arial"/>
          <w:b/>
          <w:lang w:eastAsia="en-PH"/>
        </w:rPr>
        <w:t xml:space="preserve">ETAILS AND STATUS OF UNSETTLED </w:t>
      </w:r>
      <w:r w:rsidR="00940F88" w:rsidRPr="007601AB">
        <w:rPr>
          <w:rFonts w:ascii="Arial" w:eastAsia="Times New Roman" w:hAnsi="Arial" w:cs="Arial"/>
          <w:b/>
          <w:lang w:eastAsia="en-PH"/>
        </w:rPr>
        <w:t>SUSPENSION AND DISALLOWANCE</w:t>
      </w:r>
      <w:r w:rsidR="004A1761">
        <w:rPr>
          <w:rFonts w:ascii="Arial" w:eastAsia="Times New Roman" w:hAnsi="Arial" w:cs="Arial"/>
          <w:b/>
          <w:lang w:eastAsia="en-PH"/>
        </w:rPr>
        <w:t>S</w:t>
      </w:r>
    </w:p>
    <w:p w:rsidR="00F23AFE" w:rsidRPr="007601AB" w:rsidRDefault="00FA18F2" w:rsidP="0044465B">
      <w:pPr>
        <w:spacing w:before="20" w:after="0" w:line="240" w:lineRule="auto"/>
        <w:ind w:left="1440" w:hanging="720"/>
        <w:jc w:val="center"/>
        <w:rPr>
          <w:rFonts w:ascii="Arial" w:eastAsia="Times New Roman" w:hAnsi="Arial" w:cs="Arial"/>
          <w:b/>
          <w:lang w:eastAsia="en-PH"/>
        </w:rPr>
      </w:pPr>
      <w:r w:rsidRPr="007601AB">
        <w:rPr>
          <w:rFonts w:ascii="Arial" w:eastAsia="Times New Roman" w:hAnsi="Arial" w:cs="Arial"/>
          <w:b/>
          <w:lang w:eastAsia="en-PH"/>
        </w:rPr>
        <w:t>AS OF DECEMBER 31, 2018</w:t>
      </w:r>
    </w:p>
    <w:p w:rsidR="00F23AFE" w:rsidRPr="007601AB" w:rsidRDefault="00F23AFE" w:rsidP="0044465B">
      <w:pPr>
        <w:spacing w:before="20" w:after="0" w:line="240" w:lineRule="auto"/>
        <w:ind w:left="1440" w:hanging="720"/>
        <w:jc w:val="center"/>
        <w:rPr>
          <w:rFonts w:ascii="Arial" w:eastAsia="Times New Roman" w:hAnsi="Arial" w:cs="Arial"/>
          <w:b/>
          <w:lang w:eastAsia="en-PH"/>
        </w:rPr>
      </w:pPr>
    </w:p>
    <w:p w:rsidR="00F23AFE" w:rsidRPr="007601AB" w:rsidRDefault="004A1761" w:rsidP="0044465B">
      <w:pPr>
        <w:numPr>
          <w:ilvl w:val="0"/>
          <w:numId w:val="1"/>
        </w:numPr>
        <w:spacing w:before="20" w:after="0" w:line="240" w:lineRule="auto"/>
        <w:ind w:hanging="540"/>
        <w:contextualSpacing/>
        <w:jc w:val="both"/>
        <w:rPr>
          <w:rFonts w:ascii="Arial" w:eastAsia="Times New Roman" w:hAnsi="Arial" w:cs="Arial"/>
          <w:b/>
          <w:lang w:eastAsia="en-PH"/>
        </w:rPr>
      </w:pPr>
      <w:r>
        <w:rPr>
          <w:rFonts w:ascii="Arial" w:eastAsia="Times New Roman" w:hAnsi="Arial" w:cs="Arial"/>
          <w:b/>
          <w:lang w:eastAsia="en-PH"/>
        </w:rPr>
        <w:t>SUSPENSION</w:t>
      </w:r>
      <w:r w:rsidR="00FA18F2" w:rsidRPr="007601AB">
        <w:rPr>
          <w:rFonts w:ascii="Arial" w:eastAsia="Times New Roman" w:hAnsi="Arial" w:cs="Arial"/>
          <w:b/>
          <w:lang w:eastAsia="en-PH"/>
        </w:rPr>
        <w:tab/>
      </w:r>
    </w:p>
    <w:p w:rsidR="00F23AFE" w:rsidRPr="00B4181B" w:rsidRDefault="00F23AFE" w:rsidP="0044465B">
      <w:pPr>
        <w:spacing w:before="20" w:after="0" w:line="240" w:lineRule="auto"/>
        <w:jc w:val="both"/>
        <w:rPr>
          <w:rFonts w:ascii="Arial" w:eastAsia="Times New Roman" w:hAnsi="Arial" w:cs="Arial"/>
          <w:b/>
          <w:sz w:val="18"/>
          <w:szCs w:val="18"/>
          <w:lang w:eastAsia="en-PH"/>
        </w:rPr>
      </w:pPr>
    </w:p>
    <w:tbl>
      <w:tblPr>
        <w:tblW w:w="8910" w:type="dxa"/>
        <w:tblInd w:w="108" w:type="dxa"/>
        <w:tblLayout w:type="fixed"/>
        <w:tblLook w:val="04A0" w:firstRow="1" w:lastRow="0" w:firstColumn="1" w:lastColumn="0" w:noHBand="0" w:noVBand="1"/>
      </w:tblPr>
      <w:tblGrid>
        <w:gridCol w:w="810"/>
        <w:gridCol w:w="810"/>
        <w:gridCol w:w="1502"/>
        <w:gridCol w:w="1558"/>
        <w:gridCol w:w="1080"/>
        <w:gridCol w:w="1620"/>
        <w:gridCol w:w="1530"/>
      </w:tblGrid>
      <w:tr w:rsidR="007601AB" w:rsidRPr="00B4181B" w:rsidTr="007D6478">
        <w:trPr>
          <w:trHeight w:val="315"/>
          <w:tblHeader/>
        </w:trPr>
        <w:tc>
          <w:tcPr>
            <w:tcW w:w="1620" w:type="dxa"/>
            <w:gridSpan w:val="2"/>
            <w:tcBorders>
              <w:top w:val="single" w:sz="8" w:space="0" w:color="auto"/>
              <w:bottom w:val="single" w:sz="8" w:space="0" w:color="000000"/>
            </w:tcBorders>
            <w:shd w:val="clear" w:color="auto" w:fill="auto"/>
            <w:vAlign w:val="center"/>
            <w:hideMark/>
          </w:tcPr>
          <w:p w:rsidR="00F23AFE" w:rsidRPr="00B4181B" w:rsidRDefault="0082157D"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N</w:t>
            </w:r>
            <w:r w:rsidR="00AF7F13" w:rsidRPr="00B4181B">
              <w:rPr>
                <w:rFonts w:ascii="Arial Narrow" w:eastAsia="Times New Roman" w:hAnsi="Arial Narrow" w:cs="Arial"/>
                <w:b/>
                <w:bCs/>
                <w:sz w:val="18"/>
                <w:szCs w:val="18"/>
                <w:lang w:val="en-US"/>
              </w:rPr>
              <w:t>otice of Suspension</w:t>
            </w:r>
          </w:p>
        </w:tc>
        <w:tc>
          <w:tcPr>
            <w:tcW w:w="1502" w:type="dxa"/>
            <w:vMerge w:val="restart"/>
            <w:tcBorders>
              <w:top w:val="single" w:sz="8" w:space="0" w:color="auto"/>
              <w:bottom w:val="single" w:sz="8" w:space="0" w:color="000000"/>
            </w:tcBorders>
            <w:shd w:val="clear" w:color="auto" w:fill="auto"/>
            <w:vAlign w:val="center"/>
            <w:hideMark/>
          </w:tcPr>
          <w:p w:rsidR="00F23AFE" w:rsidRPr="00B4181B" w:rsidRDefault="0082157D"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Nature of Suspension or Disallowance</w:t>
            </w:r>
            <w:r w:rsidR="00FA18F2" w:rsidRPr="00B4181B">
              <w:rPr>
                <w:rFonts w:ascii="Arial Narrow" w:eastAsia="Times New Roman" w:hAnsi="Arial Narrow" w:cs="Arial"/>
                <w:b/>
                <w:bCs/>
                <w:sz w:val="18"/>
                <w:szCs w:val="18"/>
                <w:lang w:val="en-US"/>
              </w:rPr>
              <w:t xml:space="preserve"> / Specific law or rules violated</w:t>
            </w:r>
          </w:p>
        </w:tc>
        <w:tc>
          <w:tcPr>
            <w:tcW w:w="4258" w:type="dxa"/>
            <w:gridSpan w:val="3"/>
            <w:tcBorders>
              <w:top w:val="single" w:sz="8" w:space="0" w:color="auto"/>
              <w:bottom w:val="single" w:sz="8"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A</w:t>
            </w:r>
            <w:r w:rsidR="00AF7F13" w:rsidRPr="00B4181B">
              <w:rPr>
                <w:rFonts w:ascii="Arial Narrow" w:eastAsia="Times New Roman" w:hAnsi="Arial Narrow" w:cs="Arial"/>
                <w:b/>
                <w:bCs/>
                <w:sz w:val="18"/>
                <w:szCs w:val="18"/>
                <w:lang w:val="en-US"/>
              </w:rPr>
              <w:t>mount</w:t>
            </w:r>
          </w:p>
        </w:tc>
        <w:tc>
          <w:tcPr>
            <w:tcW w:w="1530" w:type="dxa"/>
            <w:vMerge w:val="restart"/>
            <w:tcBorders>
              <w:top w:val="single" w:sz="8" w:space="0" w:color="auto"/>
              <w:left w:val="nil"/>
              <w:bottom w:val="single" w:sz="8" w:space="0" w:color="000000"/>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Remarks</w:t>
            </w:r>
          </w:p>
        </w:tc>
      </w:tr>
      <w:tr w:rsidR="007601AB" w:rsidRPr="00B4181B" w:rsidTr="00043687">
        <w:trPr>
          <w:trHeight w:val="915"/>
          <w:tblHeader/>
        </w:trPr>
        <w:tc>
          <w:tcPr>
            <w:tcW w:w="810" w:type="dxa"/>
            <w:tcBorders>
              <w:top w:val="single" w:sz="8" w:space="0" w:color="000000"/>
              <w:bottom w:val="single" w:sz="8"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No.</w:t>
            </w:r>
          </w:p>
        </w:tc>
        <w:tc>
          <w:tcPr>
            <w:tcW w:w="810" w:type="dxa"/>
            <w:tcBorders>
              <w:top w:val="single" w:sz="8" w:space="0" w:color="000000"/>
              <w:bottom w:val="single" w:sz="8"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Date</w:t>
            </w:r>
          </w:p>
        </w:tc>
        <w:tc>
          <w:tcPr>
            <w:tcW w:w="1502" w:type="dxa"/>
            <w:vMerge/>
            <w:tcBorders>
              <w:top w:val="single" w:sz="8" w:space="0" w:color="auto"/>
              <w:left w:val="nil"/>
              <w:bottom w:val="single" w:sz="8" w:space="0" w:color="000000"/>
            </w:tcBorders>
            <w:vAlign w:val="center"/>
            <w:hideMark/>
          </w:tcPr>
          <w:p w:rsidR="00F23AFE" w:rsidRPr="00B4181B" w:rsidRDefault="00F23AFE" w:rsidP="0044465B">
            <w:pPr>
              <w:spacing w:before="20" w:after="0" w:line="240" w:lineRule="auto"/>
              <w:rPr>
                <w:rFonts w:ascii="Arial Narrow" w:eastAsia="Times New Roman" w:hAnsi="Arial Narrow" w:cs="Arial"/>
                <w:b/>
                <w:bCs/>
                <w:sz w:val="18"/>
                <w:szCs w:val="18"/>
                <w:lang w:val="en-US"/>
              </w:rPr>
            </w:pPr>
          </w:p>
        </w:tc>
        <w:tc>
          <w:tcPr>
            <w:tcW w:w="1558" w:type="dxa"/>
            <w:tcBorders>
              <w:top w:val="nil"/>
              <w:bottom w:val="single" w:sz="8" w:space="0" w:color="auto"/>
            </w:tcBorders>
            <w:shd w:val="clear" w:color="auto" w:fill="auto"/>
            <w:vAlign w:val="center"/>
            <w:hideMark/>
          </w:tcPr>
          <w:p w:rsidR="00F23AFE" w:rsidRPr="00B4181B" w:rsidRDefault="00F457E9"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Suspended</w:t>
            </w:r>
          </w:p>
        </w:tc>
        <w:tc>
          <w:tcPr>
            <w:tcW w:w="1080" w:type="dxa"/>
            <w:tcBorders>
              <w:top w:val="nil"/>
              <w:bottom w:val="single" w:sz="8"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Settled as of year-end</w:t>
            </w:r>
          </w:p>
        </w:tc>
        <w:tc>
          <w:tcPr>
            <w:tcW w:w="1620" w:type="dxa"/>
            <w:tcBorders>
              <w:top w:val="nil"/>
              <w:left w:val="nil"/>
              <w:bottom w:val="single" w:sz="8"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bCs/>
                <w:sz w:val="18"/>
                <w:szCs w:val="18"/>
                <w:lang w:val="en-US"/>
              </w:rPr>
            </w:pPr>
            <w:r w:rsidRPr="00B4181B">
              <w:rPr>
                <w:rFonts w:ascii="Arial Narrow" w:eastAsia="Times New Roman" w:hAnsi="Arial Narrow" w:cs="Arial"/>
                <w:b/>
                <w:bCs/>
                <w:sz w:val="18"/>
                <w:szCs w:val="18"/>
                <w:lang w:val="en-US"/>
              </w:rPr>
              <w:t xml:space="preserve">Unsettled </w:t>
            </w:r>
            <w:r w:rsidR="00CD24AD" w:rsidRPr="00B4181B">
              <w:rPr>
                <w:rFonts w:ascii="Arial Narrow" w:eastAsia="Times New Roman" w:hAnsi="Arial Narrow" w:cs="Arial"/>
                <w:b/>
                <w:bCs/>
                <w:sz w:val="18"/>
                <w:szCs w:val="18"/>
                <w:lang w:val="en-US"/>
              </w:rPr>
              <w:t>Suspensions</w:t>
            </w:r>
            <w:r w:rsidRPr="00B4181B">
              <w:rPr>
                <w:rFonts w:ascii="Arial Narrow" w:eastAsia="Times New Roman" w:hAnsi="Arial Narrow" w:cs="Arial"/>
                <w:b/>
                <w:bCs/>
                <w:sz w:val="18"/>
                <w:szCs w:val="18"/>
                <w:lang w:val="en-US"/>
              </w:rPr>
              <w:t xml:space="preserve"> as of year-end</w:t>
            </w:r>
          </w:p>
        </w:tc>
        <w:tc>
          <w:tcPr>
            <w:tcW w:w="1530" w:type="dxa"/>
            <w:vMerge/>
            <w:tcBorders>
              <w:top w:val="single" w:sz="8" w:space="0" w:color="auto"/>
              <w:left w:val="nil"/>
              <w:bottom w:val="single" w:sz="8" w:space="0" w:color="000000"/>
            </w:tcBorders>
            <w:vAlign w:val="center"/>
            <w:hideMark/>
          </w:tcPr>
          <w:p w:rsidR="00F23AFE" w:rsidRPr="00B4181B" w:rsidRDefault="00F23AFE" w:rsidP="0044465B">
            <w:pPr>
              <w:spacing w:before="20" w:after="0" w:line="240" w:lineRule="auto"/>
              <w:rPr>
                <w:rFonts w:ascii="Arial Narrow" w:eastAsia="Times New Roman" w:hAnsi="Arial Narrow" w:cs="Arial"/>
                <w:b/>
                <w:bCs/>
                <w:sz w:val="18"/>
                <w:szCs w:val="18"/>
                <w:lang w:val="en-US"/>
              </w:rPr>
            </w:pPr>
          </w:p>
        </w:tc>
      </w:tr>
      <w:tr w:rsidR="007601AB" w:rsidRPr="00B4181B" w:rsidTr="007D6478">
        <w:trPr>
          <w:trHeight w:val="1425"/>
        </w:trPr>
        <w:tc>
          <w:tcPr>
            <w:tcW w:w="810" w:type="dxa"/>
            <w:tcBorders>
              <w:top w:val="nil"/>
              <w:bottom w:val="single" w:sz="8" w:space="0" w:color="auto"/>
            </w:tcBorders>
            <w:shd w:val="clear" w:color="auto" w:fill="auto"/>
            <w:hideMark/>
          </w:tcPr>
          <w:p w:rsidR="00F23AFE" w:rsidRPr="00B4181B" w:rsidRDefault="00F23AFE" w:rsidP="0044465B">
            <w:pPr>
              <w:spacing w:before="20" w:after="0" w:line="240" w:lineRule="auto"/>
              <w:jc w:val="both"/>
              <w:rPr>
                <w:rFonts w:ascii="Arial Narrow" w:eastAsia="Times New Roman" w:hAnsi="Arial Narrow" w:cs="Arial"/>
                <w:sz w:val="18"/>
                <w:szCs w:val="18"/>
                <w:lang w:val="en-US"/>
              </w:rPr>
            </w:pPr>
          </w:p>
          <w:p w:rsidR="00F23AFE" w:rsidRPr="00B4181B" w:rsidRDefault="0082157D" w:rsidP="0044465B">
            <w:pPr>
              <w:spacing w:before="20" w:after="0" w:line="240" w:lineRule="auto"/>
              <w:jc w:val="both"/>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NS No. 2016-001-(15)</w:t>
            </w:r>
          </w:p>
        </w:tc>
        <w:tc>
          <w:tcPr>
            <w:tcW w:w="810" w:type="dxa"/>
            <w:tcBorders>
              <w:top w:val="nil"/>
              <w:bottom w:val="single" w:sz="8" w:space="0" w:color="auto"/>
            </w:tcBorders>
            <w:shd w:val="clear" w:color="auto" w:fill="auto"/>
            <w:hideMark/>
          </w:tcPr>
          <w:p w:rsidR="00F23AFE" w:rsidRPr="00B4181B" w:rsidRDefault="00F23AFE" w:rsidP="0044465B">
            <w:pPr>
              <w:spacing w:before="20" w:after="0" w:line="240" w:lineRule="auto"/>
              <w:jc w:val="center"/>
              <w:rPr>
                <w:rFonts w:ascii="Arial Narrow" w:eastAsia="Times New Roman" w:hAnsi="Arial Narrow" w:cs="Arial"/>
                <w:sz w:val="18"/>
                <w:szCs w:val="18"/>
                <w:lang w:val="en-US"/>
              </w:rPr>
            </w:pPr>
          </w:p>
          <w:p w:rsidR="00F23AFE" w:rsidRPr="00B4181B" w:rsidRDefault="0082157D" w:rsidP="0044465B">
            <w:pPr>
              <w:spacing w:before="20" w:after="0" w:line="240" w:lineRule="auto"/>
              <w:jc w:val="center"/>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02/05/16</w:t>
            </w:r>
          </w:p>
        </w:tc>
        <w:tc>
          <w:tcPr>
            <w:tcW w:w="1502" w:type="dxa"/>
            <w:tcBorders>
              <w:top w:val="nil"/>
              <w:bottom w:val="single" w:sz="8" w:space="0" w:color="auto"/>
            </w:tcBorders>
            <w:shd w:val="clear" w:color="auto" w:fill="auto"/>
            <w:hideMark/>
          </w:tcPr>
          <w:p w:rsidR="00F23AFE" w:rsidRPr="00B4181B" w:rsidRDefault="00F23AFE" w:rsidP="0044465B">
            <w:pPr>
              <w:spacing w:before="20" w:after="0" w:line="240" w:lineRule="auto"/>
              <w:jc w:val="both"/>
              <w:rPr>
                <w:rFonts w:ascii="Arial Narrow" w:eastAsia="Times New Roman" w:hAnsi="Arial Narrow" w:cs="Arial"/>
                <w:sz w:val="18"/>
                <w:szCs w:val="18"/>
                <w:lang w:val="en-US"/>
              </w:rPr>
            </w:pPr>
          </w:p>
          <w:p w:rsidR="00F23AFE" w:rsidRDefault="00391EBB" w:rsidP="0044465B">
            <w:pPr>
              <w:spacing w:before="20" w:after="0" w:line="240" w:lineRule="auto"/>
              <w:jc w:val="both"/>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Non-submission of Disbursement Vouchers (DVs) for Charity Fund together with its supporting documents contrary to Section 7.2.1 (a) of COA Circular No. 2009-006 dated September 4.6 of PD No. 1445.</w:t>
            </w:r>
          </w:p>
          <w:p w:rsidR="007D6478" w:rsidRPr="00B4181B" w:rsidRDefault="007D6478" w:rsidP="0044465B">
            <w:pPr>
              <w:spacing w:before="20" w:after="0" w:line="240" w:lineRule="auto"/>
              <w:jc w:val="both"/>
              <w:rPr>
                <w:rFonts w:ascii="Arial Narrow" w:hAnsi="Arial Narrow" w:cs="Calibri"/>
                <w:sz w:val="18"/>
                <w:szCs w:val="18"/>
              </w:rPr>
            </w:pPr>
          </w:p>
        </w:tc>
        <w:tc>
          <w:tcPr>
            <w:tcW w:w="1558" w:type="dxa"/>
            <w:tcBorders>
              <w:top w:val="nil"/>
              <w:bottom w:val="single" w:sz="8" w:space="0" w:color="auto"/>
            </w:tcBorders>
            <w:shd w:val="clear" w:color="auto" w:fill="auto"/>
            <w:hideMark/>
          </w:tcPr>
          <w:p w:rsidR="00F23AFE" w:rsidRPr="00B4181B" w:rsidRDefault="00F23AFE" w:rsidP="0044465B">
            <w:pPr>
              <w:spacing w:before="20" w:after="0" w:line="240" w:lineRule="auto"/>
              <w:jc w:val="right"/>
              <w:rPr>
                <w:rFonts w:ascii="Arial Narrow" w:eastAsia="Times New Roman" w:hAnsi="Arial Narrow" w:cs="Arial"/>
                <w:sz w:val="18"/>
                <w:szCs w:val="18"/>
                <w:lang w:val="en-US"/>
              </w:rPr>
            </w:pPr>
          </w:p>
          <w:p w:rsidR="00F23AFE" w:rsidRPr="00B4181B" w:rsidRDefault="00B83557" w:rsidP="0044465B">
            <w:pPr>
              <w:spacing w:before="20" w:after="0" w:line="240" w:lineRule="auto"/>
              <w:jc w:val="right"/>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 xml:space="preserve">P </w:t>
            </w:r>
            <w:r w:rsidR="00720964" w:rsidRPr="00B4181B">
              <w:rPr>
                <w:rFonts w:ascii="Arial Narrow" w:eastAsia="Times New Roman" w:hAnsi="Arial Narrow" w:cs="Arial"/>
                <w:sz w:val="18"/>
                <w:szCs w:val="18"/>
                <w:lang w:val="en-US"/>
              </w:rPr>
              <w:t xml:space="preserve"> </w:t>
            </w:r>
            <w:r w:rsidRPr="00B4181B">
              <w:rPr>
                <w:rFonts w:ascii="Arial Narrow" w:eastAsia="Times New Roman" w:hAnsi="Arial Narrow" w:cs="Arial"/>
                <w:sz w:val="18"/>
                <w:szCs w:val="18"/>
                <w:lang w:val="en-US"/>
              </w:rPr>
              <w:t>4,350,400.18</w:t>
            </w:r>
          </w:p>
        </w:tc>
        <w:tc>
          <w:tcPr>
            <w:tcW w:w="1080" w:type="dxa"/>
            <w:tcBorders>
              <w:top w:val="nil"/>
              <w:bottom w:val="single" w:sz="8" w:space="0" w:color="auto"/>
            </w:tcBorders>
            <w:shd w:val="clear" w:color="auto" w:fill="auto"/>
            <w:hideMark/>
          </w:tcPr>
          <w:p w:rsidR="00B83557" w:rsidRPr="00B4181B" w:rsidRDefault="00B83557" w:rsidP="0044465B">
            <w:pPr>
              <w:spacing w:before="20" w:after="0" w:line="240" w:lineRule="auto"/>
              <w:ind w:hanging="108"/>
              <w:jc w:val="right"/>
              <w:rPr>
                <w:rFonts w:ascii="Arial Narrow" w:eastAsia="Times New Roman" w:hAnsi="Arial Narrow" w:cs="Arial"/>
                <w:sz w:val="18"/>
                <w:szCs w:val="18"/>
                <w:lang w:val="en-US"/>
              </w:rPr>
            </w:pPr>
          </w:p>
          <w:p w:rsidR="00F23AFE" w:rsidRPr="00B4181B" w:rsidRDefault="00B83557" w:rsidP="0044465B">
            <w:pPr>
              <w:spacing w:before="20" w:after="0" w:line="240" w:lineRule="auto"/>
              <w:ind w:hanging="108"/>
              <w:jc w:val="right"/>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 xml:space="preserve">P   </w:t>
            </w:r>
            <w:r w:rsidR="00720964" w:rsidRPr="00B4181B">
              <w:rPr>
                <w:rFonts w:ascii="Arial Narrow" w:eastAsia="Times New Roman" w:hAnsi="Arial Narrow" w:cs="Arial"/>
                <w:sz w:val="18"/>
                <w:szCs w:val="18"/>
                <w:lang w:val="en-US"/>
              </w:rPr>
              <w:t xml:space="preserve">         </w:t>
            </w:r>
            <w:r w:rsidRPr="00B4181B">
              <w:rPr>
                <w:rFonts w:ascii="Arial Narrow" w:eastAsia="Times New Roman" w:hAnsi="Arial Narrow" w:cs="Arial"/>
                <w:sz w:val="18"/>
                <w:szCs w:val="18"/>
                <w:lang w:val="en-US"/>
              </w:rPr>
              <w:t>0.00</w:t>
            </w:r>
          </w:p>
        </w:tc>
        <w:tc>
          <w:tcPr>
            <w:tcW w:w="1620" w:type="dxa"/>
            <w:tcBorders>
              <w:top w:val="nil"/>
              <w:bottom w:val="single" w:sz="8" w:space="0" w:color="auto"/>
            </w:tcBorders>
            <w:shd w:val="clear" w:color="auto" w:fill="auto"/>
            <w:hideMark/>
          </w:tcPr>
          <w:p w:rsidR="00F23AFE" w:rsidRPr="00B4181B" w:rsidRDefault="00F23AFE" w:rsidP="0044465B">
            <w:pPr>
              <w:spacing w:before="20" w:after="0" w:line="240" w:lineRule="auto"/>
              <w:jc w:val="right"/>
              <w:rPr>
                <w:rFonts w:ascii="Arial Narrow" w:eastAsia="Times New Roman" w:hAnsi="Arial Narrow" w:cs="Arial"/>
                <w:sz w:val="18"/>
                <w:szCs w:val="18"/>
                <w:lang w:val="en-US"/>
              </w:rPr>
            </w:pPr>
          </w:p>
          <w:p w:rsidR="00F23AFE" w:rsidRPr="00B4181B" w:rsidRDefault="00B83557" w:rsidP="0044465B">
            <w:pPr>
              <w:spacing w:before="20" w:after="0" w:line="240" w:lineRule="auto"/>
              <w:jc w:val="right"/>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 xml:space="preserve">P </w:t>
            </w:r>
            <w:r w:rsidR="00720964" w:rsidRPr="00B4181B">
              <w:rPr>
                <w:rFonts w:ascii="Arial Narrow" w:eastAsia="Times New Roman" w:hAnsi="Arial Narrow" w:cs="Arial"/>
                <w:sz w:val="18"/>
                <w:szCs w:val="18"/>
                <w:lang w:val="en-US"/>
              </w:rPr>
              <w:t xml:space="preserve"> </w:t>
            </w:r>
            <w:r w:rsidRPr="00B4181B">
              <w:rPr>
                <w:rFonts w:ascii="Arial Narrow" w:eastAsia="Times New Roman" w:hAnsi="Arial Narrow" w:cs="Arial"/>
                <w:sz w:val="18"/>
                <w:szCs w:val="18"/>
                <w:lang w:val="en-US"/>
              </w:rPr>
              <w:t>4,350,400.18</w:t>
            </w:r>
          </w:p>
        </w:tc>
        <w:tc>
          <w:tcPr>
            <w:tcW w:w="1530" w:type="dxa"/>
            <w:tcBorders>
              <w:top w:val="nil"/>
              <w:bottom w:val="single" w:sz="8" w:space="0" w:color="auto"/>
            </w:tcBorders>
            <w:shd w:val="clear" w:color="auto" w:fill="auto"/>
            <w:hideMark/>
          </w:tcPr>
          <w:p w:rsidR="00F23AFE" w:rsidRPr="00B4181B" w:rsidRDefault="00F23AFE" w:rsidP="0044465B">
            <w:pPr>
              <w:spacing w:before="20" w:after="0" w:line="240" w:lineRule="auto"/>
              <w:jc w:val="both"/>
              <w:rPr>
                <w:rFonts w:ascii="Arial Narrow" w:eastAsia="Times New Roman" w:hAnsi="Arial Narrow" w:cs="Arial"/>
                <w:sz w:val="18"/>
                <w:szCs w:val="18"/>
                <w:lang w:val="en-US"/>
              </w:rPr>
            </w:pPr>
          </w:p>
          <w:p w:rsidR="00F23AFE" w:rsidRPr="00B4181B" w:rsidRDefault="007D6478" w:rsidP="0044465B">
            <w:pPr>
              <w:spacing w:before="20" w:after="0" w:line="240" w:lineRule="auto"/>
              <w:jc w:val="both"/>
              <w:rPr>
                <w:rFonts w:ascii="Arial Narrow" w:eastAsia="Times New Roman" w:hAnsi="Arial Narrow" w:cs="Arial"/>
                <w:sz w:val="18"/>
                <w:szCs w:val="18"/>
                <w:lang w:val="en-US"/>
              </w:rPr>
            </w:pPr>
            <w:r>
              <w:rPr>
                <w:rFonts w:ascii="Arial Narrow" w:eastAsia="Times New Roman" w:hAnsi="Arial Narrow" w:cs="Arial"/>
                <w:sz w:val="18"/>
                <w:szCs w:val="18"/>
                <w:lang w:val="en-US"/>
              </w:rPr>
              <w:t>Management requested for time extension to submit the DVs and supporting documents.</w:t>
            </w:r>
          </w:p>
        </w:tc>
      </w:tr>
      <w:tr w:rsidR="007601AB" w:rsidRPr="00B4181B" w:rsidTr="007D6478">
        <w:trPr>
          <w:trHeight w:val="160"/>
        </w:trPr>
        <w:tc>
          <w:tcPr>
            <w:tcW w:w="3122" w:type="dxa"/>
            <w:gridSpan w:val="3"/>
            <w:tcBorders>
              <w:top w:val="single" w:sz="8" w:space="0" w:color="auto"/>
              <w:bottom w:val="double" w:sz="4" w:space="0" w:color="auto"/>
            </w:tcBorders>
            <w:shd w:val="clear" w:color="auto" w:fill="auto"/>
            <w:vAlign w:val="center"/>
            <w:hideMark/>
          </w:tcPr>
          <w:p w:rsidR="00F23AFE" w:rsidRPr="00B4181B" w:rsidRDefault="00FA18F2" w:rsidP="0044465B">
            <w:pPr>
              <w:spacing w:before="20" w:after="0" w:line="240" w:lineRule="auto"/>
              <w:jc w:val="center"/>
              <w:rPr>
                <w:rFonts w:ascii="Arial Narrow" w:eastAsia="Times New Roman" w:hAnsi="Arial Narrow" w:cs="Arial"/>
                <w:b/>
                <w:sz w:val="18"/>
                <w:szCs w:val="18"/>
                <w:lang w:val="en-US"/>
              </w:rPr>
            </w:pPr>
            <w:r w:rsidRPr="00B4181B">
              <w:rPr>
                <w:rFonts w:ascii="Arial Narrow" w:eastAsia="Times New Roman" w:hAnsi="Arial Narrow" w:cs="Arial"/>
                <w:b/>
                <w:sz w:val="18"/>
                <w:szCs w:val="18"/>
                <w:lang w:val="en-US"/>
              </w:rPr>
              <w:t>Total</w:t>
            </w:r>
          </w:p>
        </w:tc>
        <w:tc>
          <w:tcPr>
            <w:tcW w:w="1558" w:type="dxa"/>
            <w:tcBorders>
              <w:top w:val="single" w:sz="8" w:space="0" w:color="auto"/>
              <w:bottom w:val="double" w:sz="4" w:space="0" w:color="auto"/>
            </w:tcBorders>
            <w:shd w:val="clear" w:color="auto" w:fill="auto"/>
            <w:vAlign w:val="bottom"/>
            <w:hideMark/>
          </w:tcPr>
          <w:p w:rsidR="00F23AFE" w:rsidRPr="00B4181B" w:rsidRDefault="00720964" w:rsidP="0044465B">
            <w:pPr>
              <w:spacing w:before="20" w:after="0" w:line="240" w:lineRule="auto"/>
              <w:jc w:val="right"/>
              <w:rPr>
                <w:rFonts w:ascii="Arial Narrow" w:eastAsia="Times New Roman" w:hAnsi="Arial Narrow" w:cs="Arial"/>
                <w:b/>
                <w:sz w:val="18"/>
                <w:szCs w:val="18"/>
                <w:lang w:val="en-US"/>
              </w:rPr>
            </w:pPr>
            <w:r w:rsidRPr="00B4181B">
              <w:rPr>
                <w:rFonts w:ascii="Arial Narrow" w:eastAsia="Times New Roman" w:hAnsi="Arial Narrow" w:cs="Arial"/>
                <w:b/>
                <w:sz w:val="18"/>
                <w:szCs w:val="18"/>
                <w:lang w:val="en-US"/>
              </w:rPr>
              <w:t>P  4,350,400.18</w:t>
            </w:r>
          </w:p>
        </w:tc>
        <w:tc>
          <w:tcPr>
            <w:tcW w:w="1080" w:type="dxa"/>
            <w:tcBorders>
              <w:top w:val="single" w:sz="8" w:space="0" w:color="auto"/>
              <w:bottom w:val="double" w:sz="4" w:space="0" w:color="auto"/>
            </w:tcBorders>
            <w:shd w:val="clear" w:color="auto" w:fill="auto"/>
            <w:vAlign w:val="bottom"/>
            <w:hideMark/>
          </w:tcPr>
          <w:p w:rsidR="00F23AFE" w:rsidRPr="00B4181B" w:rsidRDefault="00C75517" w:rsidP="00C75517">
            <w:pPr>
              <w:spacing w:before="20" w:after="0" w:line="240" w:lineRule="auto"/>
              <w:ind w:right="-112" w:hanging="97"/>
              <w:rPr>
                <w:rFonts w:ascii="Arial Narrow" w:eastAsia="Times New Roman" w:hAnsi="Arial Narrow" w:cs="Arial"/>
                <w:b/>
                <w:sz w:val="18"/>
                <w:szCs w:val="18"/>
                <w:lang w:val="en-US"/>
              </w:rPr>
            </w:pPr>
            <w:r w:rsidRPr="00B4181B">
              <w:rPr>
                <w:rFonts w:ascii="Arial Narrow" w:eastAsia="Times New Roman" w:hAnsi="Arial Narrow" w:cs="Arial"/>
                <w:b/>
                <w:sz w:val="18"/>
                <w:szCs w:val="18"/>
                <w:lang w:val="en-US"/>
              </w:rPr>
              <w:t xml:space="preserve"> </w:t>
            </w:r>
            <w:r w:rsidR="00AF7F13" w:rsidRPr="00B4181B">
              <w:rPr>
                <w:rFonts w:ascii="Arial Narrow" w:eastAsia="Times New Roman" w:hAnsi="Arial Narrow" w:cs="Arial"/>
                <w:b/>
                <w:sz w:val="18"/>
                <w:szCs w:val="18"/>
                <w:lang w:val="en-US"/>
              </w:rPr>
              <w:t xml:space="preserve"> </w:t>
            </w:r>
            <w:r w:rsidR="00720964" w:rsidRPr="00B4181B">
              <w:rPr>
                <w:rFonts w:ascii="Arial Narrow" w:eastAsia="Times New Roman" w:hAnsi="Arial Narrow" w:cs="Arial"/>
                <w:b/>
                <w:sz w:val="18"/>
                <w:szCs w:val="18"/>
                <w:lang w:val="en-US"/>
              </w:rPr>
              <w:t xml:space="preserve">P </w:t>
            </w:r>
            <w:r w:rsidRPr="00B4181B">
              <w:rPr>
                <w:rFonts w:ascii="Arial Narrow" w:eastAsia="Times New Roman" w:hAnsi="Arial Narrow" w:cs="Arial"/>
                <w:b/>
                <w:sz w:val="18"/>
                <w:szCs w:val="18"/>
                <w:lang w:val="en-US"/>
              </w:rPr>
              <w:t xml:space="preserve"> </w:t>
            </w:r>
            <w:r w:rsidR="00720964" w:rsidRPr="00B4181B">
              <w:rPr>
                <w:rFonts w:ascii="Arial Narrow" w:eastAsia="Times New Roman" w:hAnsi="Arial Narrow" w:cs="Arial"/>
                <w:b/>
                <w:sz w:val="18"/>
                <w:szCs w:val="18"/>
                <w:lang w:val="en-US"/>
              </w:rPr>
              <w:t xml:space="preserve"> </w:t>
            </w:r>
            <w:r w:rsidR="00AF7F13" w:rsidRPr="00B4181B">
              <w:rPr>
                <w:rFonts w:ascii="Arial Narrow" w:eastAsia="Times New Roman" w:hAnsi="Arial Narrow" w:cs="Arial"/>
                <w:b/>
                <w:sz w:val="18"/>
                <w:szCs w:val="18"/>
                <w:lang w:val="en-US"/>
              </w:rPr>
              <w:t xml:space="preserve"> </w:t>
            </w:r>
            <w:r w:rsidR="00720964" w:rsidRPr="00B4181B">
              <w:rPr>
                <w:rFonts w:ascii="Arial Narrow" w:eastAsia="Times New Roman" w:hAnsi="Arial Narrow" w:cs="Arial"/>
                <w:b/>
                <w:sz w:val="18"/>
                <w:szCs w:val="18"/>
                <w:lang w:val="en-US"/>
              </w:rPr>
              <w:t xml:space="preserve">        0.00</w:t>
            </w:r>
          </w:p>
        </w:tc>
        <w:tc>
          <w:tcPr>
            <w:tcW w:w="1620" w:type="dxa"/>
            <w:tcBorders>
              <w:top w:val="single" w:sz="8" w:space="0" w:color="auto"/>
              <w:bottom w:val="double" w:sz="4" w:space="0" w:color="auto"/>
            </w:tcBorders>
            <w:shd w:val="clear" w:color="auto" w:fill="auto"/>
            <w:vAlign w:val="bottom"/>
            <w:hideMark/>
          </w:tcPr>
          <w:p w:rsidR="00F23AFE" w:rsidRPr="00B4181B" w:rsidRDefault="00720964" w:rsidP="0044465B">
            <w:pPr>
              <w:spacing w:before="20" w:after="0" w:line="240" w:lineRule="auto"/>
              <w:jc w:val="right"/>
              <w:rPr>
                <w:rFonts w:ascii="Arial Narrow" w:eastAsia="Times New Roman" w:hAnsi="Arial Narrow" w:cs="Arial"/>
                <w:b/>
                <w:sz w:val="18"/>
                <w:szCs w:val="18"/>
                <w:lang w:val="en-US"/>
              </w:rPr>
            </w:pPr>
            <w:r w:rsidRPr="00B4181B">
              <w:rPr>
                <w:rFonts w:ascii="Arial Narrow" w:eastAsia="Times New Roman" w:hAnsi="Arial Narrow" w:cs="Arial"/>
                <w:b/>
                <w:sz w:val="18"/>
                <w:szCs w:val="18"/>
                <w:lang w:val="en-US"/>
              </w:rPr>
              <w:t>P  4,350,400.18</w:t>
            </w:r>
          </w:p>
        </w:tc>
        <w:tc>
          <w:tcPr>
            <w:tcW w:w="1530" w:type="dxa"/>
            <w:tcBorders>
              <w:top w:val="single" w:sz="8" w:space="0" w:color="auto"/>
              <w:bottom w:val="double" w:sz="4" w:space="0" w:color="auto"/>
            </w:tcBorders>
            <w:shd w:val="clear" w:color="auto" w:fill="auto"/>
            <w:hideMark/>
          </w:tcPr>
          <w:p w:rsidR="00F23AFE" w:rsidRPr="00B4181B" w:rsidRDefault="00FA18F2" w:rsidP="0044465B">
            <w:pPr>
              <w:spacing w:before="20" w:after="0" w:line="240" w:lineRule="auto"/>
              <w:rPr>
                <w:rFonts w:ascii="Arial Narrow" w:eastAsia="Times New Roman" w:hAnsi="Arial Narrow" w:cs="Arial"/>
                <w:sz w:val="18"/>
                <w:szCs w:val="18"/>
                <w:lang w:val="en-US"/>
              </w:rPr>
            </w:pPr>
            <w:r w:rsidRPr="00B4181B">
              <w:rPr>
                <w:rFonts w:ascii="Arial Narrow" w:eastAsia="Times New Roman" w:hAnsi="Arial Narrow" w:cs="Arial"/>
                <w:sz w:val="18"/>
                <w:szCs w:val="18"/>
                <w:lang w:val="en-US"/>
              </w:rPr>
              <w:t> </w:t>
            </w:r>
          </w:p>
        </w:tc>
      </w:tr>
    </w:tbl>
    <w:p w:rsidR="00F23AFE" w:rsidRPr="007601AB" w:rsidRDefault="00F23AFE" w:rsidP="0044465B">
      <w:pPr>
        <w:spacing w:before="20" w:after="0" w:line="240" w:lineRule="auto"/>
        <w:jc w:val="both"/>
        <w:rPr>
          <w:rFonts w:ascii="Arial" w:eastAsia="Times New Roman" w:hAnsi="Arial" w:cs="Arial"/>
          <w:lang w:eastAsia="en-PH"/>
        </w:rPr>
      </w:pPr>
    </w:p>
    <w:p w:rsidR="00F23AFE" w:rsidRPr="007601AB" w:rsidRDefault="00FA18F2" w:rsidP="0044465B">
      <w:pPr>
        <w:spacing w:before="20" w:after="0" w:line="240" w:lineRule="auto"/>
        <w:jc w:val="both"/>
        <w:rPr>
          <w:rFonts w:ascii="Arial" w:eastAsia="Times New Roman" w:hAnsi="Arial" w:cs="Arial"/>
          <w:b/>
          <w:lang w:eastAsia="en-PH"/>
        </w:rPr>
      </w:pPr>
      <w:r w:rsidRPr="007601AB">
        <w:rPr>
          <w:rFonts w:ascii="Arial" w:eastAsia="Times New Roman" w:hAnsi="Arial" w:cs="Arial"/>
          <w:b/>
          <w:lang w:eastAsia="en-PH"/>
        </w:rPr>
        <w:t xml:space="preserve">             </w:t>
      </w:r>
    </w:p>
    <w:p w:rsidR="00F23AFE" w:rsidRPr="007601AB" w:rsidRDefault="009B1870" w:rsidP="0044465B">
      <w:pPr>
        <w:numPr>
          <w:ilvl w:val="0"/>
          <w:numId w:val="1"/>
        </w:numPr>
        <w:spacing w:before="20" w:after="0" w:line="240" w:lineRule="auto"/>
        <w:ind w:hanging="540"/>
        <w:contextualSpacing/>
        <w:jc w:val="both"/>
        <w:rPr>
          <w:rFonts w:ascii="Arial" w:eastAsia="Times New Roman" w:hAnsi="Arial" w:cs="Arial"/>
          <w:b/>
          <w:lang w:eastAsia="en-PH"/>
        </w:rPr>
      </w:pPr>
      <w:r w:rsidRPr="007601AB">
        <w:rPr>
          <w:rFonts w:ascii="Arial" w:eastAsia="Times New Roman" w:hAnsi="Arial" w:cs="Arial"/>
          <w:b/>
          <w:lang w:eastAsia="en-PH"/>
        </w:rPr>
        <w:t>DISALLOWANCES</w:t>
      </w:r>
    </w:p>
    <w:p w:rsidR="00F23AFE" w:rsidRPr="007601AB" w:rsidRDefault="00F23AFE" w:rsidP="0044465B">
      <w:pPr>
        <w:spacing w:before="20" w:after="0" w:line="240" w:lineRule="auto"/>
        <w:jc w:val="both"/>
        <w:rPr>
          <w:rFonts w:ascii="Arial" w:eastAsia="Times New Roman" w:hAnsi="Arial" w:cs="Arial"/>
          <w:lang w:eastAsia="en-PH"/>
        </w:rPr>
      </w:pPr>
    </w:p>
    <w:tbl>
      <w:tblPr>
        <w:tblStyle w:val="TableGrid"/>
        <w:tblW w:w="9005" w:type="dxa"/>
        <w:tblBorders>
          <w:left w:val="none" w:sz="0" w:space="0" w:color="auto"/>
          <w:bottom w:val="double" w:sz="4" w:space="0" w:color="auto"/>
          <w:right w:val="none" w:sz="0" w:space="0" w:color="auto"/>
          <w:insideV w:val="none" w:sz="0" w:space="0" w:color="auto"/>
        </w:tblBorders>
        <w:tblLook w:val="04A0" w:firstRow="1" w:lastRow="0" w:firstColumn="1" w:lastColumn="0" w:noHBand="0" w:noVBand="1"/>
      </w:tblPr>
      <w:tblGrid>
        <w:gridCol w:w="880"/>
        <w:gridCol w:w="799"/>
        <w:gridCol w:w="1587"/>
        <w:gridCol w:w="1464"/>
        <w:gridCol w:w="1173"/>
        <w:gridCol w:w="1585"/>
        <w:gridCol w:w="1517"/>
      </w:tblGrid>
      <w:tr w:rsidR="00B4181B" w:rsidTr="007D6478">
        <w:trPr>
          <w:trHeight w:val="395"/>
          <w:tblHeader/>
        </w:trPr>
        <w:tc>
          <w:tcPr>
            <w:tcW w:w="1679" w:type="dxa"/>
            <w:gridSpan w:val="2"/>
          </w:tcPr>
          <w:p w:rsidR="00584B8C" w:rsidRDefault="00584B8C" w:rsidP="00B4181B">
            <w:pPr>
              <w:jc w:val="center"/>
            </w:pPr>
            <w:bookmarkStart w:id="1" w:name="_Hlk12618356"/>
            <w:r w:rsidRPr="00212D48">
              <w:rPr>
                <w:rFonts w:ascii="Arial Narrow" w:hAnsi="Arial Narrow" w:cs="Arial"/>
                <w:b/>
                <w:bCs/>
                <w:sz w:val="18"/>
                <w:szCs w:val="18"/>
              </w:rPr>
              <w:t>Notice of Disallowance</w:t>
            </w:r>
          </w:p>
        </w:tc>
        <w:tc>
          <w:tcPr>
            <w:tcW w:w="1587" w:type="dxa"/>
            <w:vMerge w:val="restart"/>
            <w:vAlign w:val="center"/>
          </w:tcPr>
          <w:p w:rsidR="00584B8C" w:rsidRDefault="00584B8C" w:rsidP="00B4181B">
            <w:pPr>
              <w:jc w:val="center"/>
            </w:pPr>
            <w:r w:rsidRPr="00AF7F13">
              <w:rPr>
                <w:rFonts w:ascii="Arial Narrow" w:hAnsi="Arial Narrow" w:cs="Arial"/>
                <w:b/>
                <w:bCs/>
                <w:sz w:val="18"/>
                <w:szCs w:val="18"/>
              </w:rPr>
              <w:t>Nature of Suspension or Disallowance / Specific law or rules violated</w:t>
            </w:r>
          </w:p>
        </w:tc>
        <w:tc>
          <w:tcPr>
            <w:tcW w:w="4222" w:type="dxa"/>
            <w:gridSpan w:val="3"/>
          </w:tcPr>
          <w:p w:rsidR="00584B8C" w:rsidRDefault="00584B8C" w:rsidP="00B4181B">
            <w:pPr>
              <w:jc w:val="center"/>
            </w:pPr>
            <w:r w:rsidRPr="00AF7F13">
              <w:rPr>
                <w:rFonts w:ascii="Arial Narrow" w:hAnsi="Arial Narrow" w:cs="Arial"/>
                <w:b/>
                <w:bCs/>
                <w:sz w:val="18"/>
                <w:szCs w:val="18"/>
              </w:rPr>
              <w:t>Amount</w:t>
            </w:r>
          </w:p>
        </w:tc>
        <w:tc>
          <w:tcPr>
            <w:tcW w:w="1517" w:type="dxa"/>
            <w:vMerge w:val="restart"/>
          </w:tcPr>
          <w:p w:rsidR="00B4181B" w:rsidRDefault="00B4181B" w:rsidP="00B4181B">
            <w:pPr>
              <w:jc w:val="center"/>
              <w:rPr>
                <w:rFonts w:ascii="Arial Narrow" w:hAnsi="Arial Narrow" w:cs="Arial"/>
                <w:b/>
                <w:bCs/>
                <w:sz w:val="18"/>
                <w:szCs w:val="18"/>
              </w:rPr>
            </w:pPr>
          </w:p>
          <w:p w:rsidR="00B4181B" w:rsidRDefault="00B4181B" w:rsidP="00B4181B">
            <w:pPr>
              <w:jc w:val="center"/>
              <w:rPr>
                <w:rFonts w:ascii="Arial Narrow" w:hAnsi="Arial Narrow" w:cs="Arial"/>
                <w:b/>
                <w:bCs/>
                <w:sz w:val="18"/>
                <w:szCs w:val="18"/>
              </w:rPr>
            </w:pPr>
          </w:p>
          <w:p w:rsidR="00584B8C" w:rsidRDefault="00584B8C" w:rsidP="00B4181B">
            <w:pPr>
              <w:jc w:val="center"/>
            </w:pPr>
            <w:r w:rsidRPr="00AF7F13">
              <w:rPr>
                <w:rFonts w:ascii="Arial Narrow" w:hAnsi="Arial Narrow" w:cs="Arial"/>
                <w:b/>
                <w:bCs/>
                <w:sz w:val="18"/>
                <w:szCs w:val="18"/>
              </w:rPr>
              <w:t>Remarks</w:t>
            </w:r>
          </w:p>
        </w:tc>
      </w:tr>
      <w:tr w:rsidR="00D9600A" w:rsidTr="007D6478">
        <w:trPr>
          <w:trHeight w:val="800"/>
          <w:tblHeader/>
        </w:trPr>
        <w:tc>
          <w:tcPr>
            <w:tcW w:w="880" w:type="dxa"/>
            <w:tcBorders>
              <w:bottom w:val="single" w:sz="4" w:space="0" w:color="auto"/>
            </w:tcBorders>
            <w:vAlign w:val="center"/>
          </w:tcPr>
          <w:p w:rsidR="00584B8C" w:rsidRDefault="00584B8C" w:rsidP="00B4181B">
            <w:pPr>
              <w:jc w:val="center"/>
            </w:pPr>
            <w:r w:rsidRPr="00AF7F13">
              <w:rPr>
                <w:rFonts w:ascii="Arial Narrow" w:hAnsi="Arial Narrow" w:cs="Arial"/>
                <w:b/>
                <w:bCs/>
                <w:sz w:val="18"/>
                <w:szCs w:val="18"/>
              </w:rPr>
              <w:t>No.</w:t>
            </w:r>
          </w:p>
        </w:tc>
        <w:tc>
          <w:tcPr>
            <w:tcW w:w="799" w:type="dxa"/>
            <w:tcBorders>
              <w:bottom w:val="single" w:sz="4" w:space="0" w:color="auto"/>
            </w:tcBorders>
            <w:vAlign w:val="center"/>
          </w:tcPr>
          <w:p w:rsidR="00584B8C" w:rsidRDefault="00584B8C" w:rsidP="00B4181B">
            <w:pPr>
              <w:jc w:val="center"/>
            </w:pPr>
            <w:r w:rsidRPr="00AF7F13">
              <w:rPr>
                <w:rFonts w:ascii="Arial Narrow" w:hAnsi="Arial Narrow" w:cs="Arial"/>
                <w:b/>
                <w:bCs/>
                <w:sz w:val="18"/>
                <w:szCs w:val="18"/>
              </w:rPr>
              <w:t>Date</w:t>
            </w:r>
          </w:p>
        </w:tc>
        <w:tc>
          <w:tcPr>
            <w:tcW w:w="1587" w:type="dxa"/>
            <w:vMerge/>
            <w:tcBorders>
              <w:bottom w:val="single" w:sz="4" w:space="0" w:color="auto"/>
            </w:tcBorders>
          </w:tcPr>
          <w:p w:rsidR="00584B8C" w:rsidRDefault="00584B8C" w:rsidP="00B4181B">
            <w:pPr>
              <w:jc w:val="center"/>
            </w:pPr>
          </w:p>
        </w:tc>
        <w:tc>
          <w:tcPr>
            <w:tcW w:w="1464" w:type="dxa"/>
            <w:tcBorders>
              <w:bottom w:val="single" w:sz="4" w:space="0" w:color="auto"/>
            </w:tcBorders>
            <w:vAlign w:val="center"/>
          </w:tcPr>
          <w:p w:rsidR="00584B8C" w:rsidRDefault="00584B8C" w:rsidP="00B4181B">
            <w:pPr>
              <w:jc w:val="center"/>
            </w:pPr>
            <w:r w:rsidRPr="00AF7F13">
              <w:rPr>
                <w:rFonts w:ascii="Arial Narrow" w:hAnsi="Arial Narrow" w:cs="Arial"/>
                <w:b/>
                <w:bCs/>
                <w:sz w:val="18"/>
                <w:szCs w:val="18"/>
              </w:rPr>
              <w:t>Disallowed</w:t>
            </w:r>
          </w:p>
        </w:tc>
        <w:tc>
          <w:tcPr>
            <w:tcW w:w="1173" w:type="dxa"/>
            <w:tcBorders>
              <w:bottom w:val="single" w:sz="4" w:space="0" w:color="auto"/>
            </w:tcBorders>
            <w:vAlign w:val="center"/>
          </w:tcPr>
          <w:p w:rsidR="00584B8C" w:rsidRDefault="00584B8C" w:rsidP="00B4181B">
            <w:pPr>
              <w:jc w:val="center"/>
            </w:pPr>
            <w:r w:rsidRPr="00AF7F13">
              <w:rPr>
                <w:rFonts w:ascii="Arial Narrow" w:hAnsi="Arial Narrow" w:cs="Arial"/>
                <w:b/>
                <w:bCs/>
                <w:sz w:val="18"/>
                <w:szCs w:val="18"/>
              </w:rPr>
              <w:t>Settled as of year-end</w:t>
            </w:r>
          </w:p>
        </w:tc>
        <w:tc>
          <w:tcPr>
            <w:tcW w:w="1585" w:type="dxa"/>
            <w:tcBorders>
              <w:bottom w:val="single" w:sz="4" w:space="0" w:color="auto"/>
            </w:tcBorders>
            <w:vAlign w:val="center"/>
          </w:tcPr>
          <w:p w:rsidR="00584B8C" w:rsidRDefault="00584B8C" w:rsidP="00B4181B">
            <w:pPr>
              <w:jc w:val="center"/>
            </w:pPr>
            <w:r w:rsidRPr="00AF7F13">
              <w:rPr>
                <w:rFonts w:ascii="Arial Narrow" w:hAnsi="Arial Narrow" w:cs="Arial"/>
                <w:b/>
                <w:bCs/>
                <w:sz w:val="18"/>
                <w:szCs w:val="18"/>
              </w:rPr>
              <w:t>Unsettled Disallowances as of year-end</w:t>
            </w:r>
          </w:p>
        </w:tc>
        <w:tc>
          <w:tcPr>
            <w:tcW w:w="1517" w:type="dxa"/>
            <w:vMerge/>
            <w:tcBorders>
              <w:bottom w:val="single" w:sz="4" w:space="0" w:color="auto"/>
            </w:tcBorders>
          </w:tcPr>
          <w:p w:rsidR="00584B8C" w:rsidRDefault="00584B8C" w:rsidP="00B4181B">
            <w:pPr>
              <w:jc w:val="center"/>
            </w:pPr>
          </w:p>
        </w:tc>
      </w:tr>
      <w:tr w:rsidR="00D9600A" w:rsidTr="007D6478">
        <w:tc>
          <w:tcPr>
            <w:tcW w:w="880" w:type="dxa"/>
            <w:tcBorders>
              <w:bottom w:val="single" w:sz="4" w:space="0" w:color="auto"/>
            </w:tcBorders>
          </w:tcPr>
          <w:p w:rsidR="00584B8C" w:rsidRDefault="00584B8C" w:rsidP="004E2D8D">
            <w:r w:rsidRPr="00AF7F13">
              <w:rPr>
                <w:rFonts w:ascii="Arial Narrow" w:hAnsi="Arial Narrow" w:cs="Arial"/>
                <w:sz w:val="18"/>
                <w:szCs w:val="18"/>
              </w:rPr>
              <w:t>2018-003 (17)</w:t>
            </w:r>
          </w:p>
        </w:tc>
        <w:tc>
          <w:tcPr>
            <w:tcW w:w="799" w:type="dxa"/>
            <w:tcBorders>
              <w:bottom w:val="single" w:sz="4" w:space="0" w:color="auto"/>
            </w:tcBorders>
          </w:tcPr>
          <w:p w:rsidR="00584B8C" w:rsidRPr="00AF7F13" w:rsidRDefault="00584B8C" w:rsidP="004E2D8D">
            <w:pPr>
              <w:spacing w:before="20"/>
              <w:ind w:left="-648" w:firstLine="533"/>
              <w:jc w:val="center"/>
              <w:rPr>
                <w:rFonts w:ascii="Arial Narrow" w:hAnsi="Arial Narrow" w:cs="Arial"/>
                <w:sz w:val="18"/>
                <w:szCs w:val="18"/>
              </w:rPr>
            </w:pPr>
            <w:r w:rsidRPr="00AF7F13">
              <w:rPr>
                <w:rFonts w:ascii="Arial Narrow" w:hAnsi="Arial Narrow" w:cs="Arial"/>
                <w:sz w:val="18"/>
                <w:szCs w:val="18"/>
              </w:rPr>
              <w:t>07/12/18</w:t>
            </w:r>
          </w:p>
          <w:p w:rsidR="00584B8C" w:rsidRDefault="00584B8C" w:rsidP="004E2D8D"/>
        </w:tc>
        <w:tc>
          <w:tcPr>
            <w:tcW w:w="1587" w:type="dxa"/>
            <w:tcBorders>
              <w:bottom w:val="single" w:sz="4" w:space="0" w:color="auto"/>
            </w:tcBorders>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Payments for 12 p</w:t>
            </w:r>
            <w:r>
              <w:rPr>
                <w:rFonts w:ascii="Arial Narrow" w:hAnsi="Arial Narrow" w:cs="Arial"/>
                <w:sz w:val="18"/>
                <w:szCs w:val="18"/>
              </w:rPr>
              <w:t>ieces</w:t>
            </w:r>
            <w:r w:rsidRPr="00AF7F13">
              <w:rPr>
                <w:rFonts w:ascii="Arial Narrow" w:hAnsi="Arial Narrow" w:cs="Arial"/>
                <w:sz w:val="18"/>
                <w:szCs w:val="18"/>
              </w:rPr>
              <w:t xml:space="preserve"> Of San Miguel Beer Light and 30 liters of Draft Beer consume during Christmas celebration on December 19, 2017.</w:t>
            </w:r>
          </w:p>
          <w:p w:rsidR="00584B8C" w:rsidRDefault="00584B8C" w:rsidP="000A6DB6">
            <w:pPr>
              <w:jc w:val="both"/>
            </w:pPr>
          </w:p>
        </w:tc>
        <w:tc>
          <w:tcPr>
            <w:tcW w:w="1464" w:type="dxa"/>
            <w:tcBorders>
              <w:bottom w:val="single" w:sz="4" w:space="0" w:color="auto"/>
            </w:tcBorders>
          </w:tcPr>
          <w:p w:rsidR="00584B8C" w:rsidRDefault="00584B8C" w:rsidP="000A6DB6">
            <w:pPr>
              <w:jc w:val="right"/>
            </w:pPr>
            <w:r w:rsidRPr="00AF7F13">
              <w:rPr>
                <w:rFonts w:ascii="Arial Narrow" w:hAnsi="Arial Narrow" w:cs="Arial"/>
                <w:sz w:val="18"/>
                <w:szCs w:val="18"/>
              </w:rPr>
              <w:t xml:space="preserve">P        </w:t>
            </w:r>
            <w:r w:rsidR="00B4181B">
              <w:rPr>
                <w:rFonts w:ascii="Arial Narrow" w:hAnsi="Arial Narrow" w:cs="Arial"/>
                <w:sz w:val="18"/>
                <w:szCs w:val="18"/>
              </w:rPr>
              <w:t xml:space="preserve">   </w:t>
            </w:r>
            <w:r w:rsidRPr="00AF7F13">
              <w:rPr>
                <w:rFonts w:ascii="Arial Narrow" w:hAnsi="Arial Narrow" w:cs="Arial"/>
                <w:sz w:val="18"/>
                <w:szCs w:val="18"/>
              </w:rPr>
              <w:t xml:space="preserve"> 56,540.05</w:t>
            </w:r>
          </w:p>
        </w:tc>
        <w:tc>
          <w:tcPr>
            <w:tcW w:w="1173" w:type="dxa"/>
            <w:tcBorders>
              <w:bottom w:val="single" w:sz="4" w:space="0" w:color="auto"/>
            </w:tcBorders>
          </w:tcPr>
          <w:p w:rsidR="00584B8C" w:rsidRDefault="00584B8C" w:rsidP="000A6DB6">
            <w:pPr>
              <w:jc w:val="right"/>
            </w:pPr>
            <w:r w:rsidRPr="00AF7F13">
              <w:rPr>
                <w:rFonts w:ascii="Arial Narrow" w:hAnsi="Arial Narrow" w:cs="Arial"/>
                <w:sz w:val="18"/>
                <w:szCs w:val="18"/>
              </w:rPr>
              <w:t xml:space="preserve">P     </w:t>
            </w:r>
            <w:r w:rsidR="00B4181B">
              <w:rPr>
                <w:rFonts w:ascii="Arial Narrow" w:hAnsi="Arial Narrow" w:cs="Arial"/>
                <w:sz w:val="18"/>
                <w:szCs w:val="18"/>
              </w:rPr>
              <w:t xml:space="preserve">      </w:t>
            </w:r>
            <w:r w:rsidRPr="00AF7F13">
              <w:rPr>
                <w:rFonts w:ascii="Arial Narrow" w:hAnsi="Arial Narrow" w:cs="Arial"/>
                <w:sz w:val="18"/>
                <w:szCs w:val="18"/>
              </w:rPr>
              <w:t xml:space="preserve">  0.00</w:t>
            </w:r>
          </w:p>
        </w:tc>
        <w:tc>
          <w:tcPr>
            <w:tcW w:w="1585" w:type="dxa"/>
            <w:tcBorders>
              <w:bottom w:val="single" w:sz="4" w:space="0" w:color="auto"/>
            </w:tcBorders>
          </w:tcPr>
          <w:p w:rsidR="00584B8C" w:rsidRDefault="00584B8C" w:rsidP="000A6DB6">
            <w:pPr>
              <w:jc w:val="right"/>
            </w:pPr>
            <w:r w:rsidRPr="00AF7F13">
              <w:rPr>
                <w:rFonts w:ascii="Arial Narrow" w:hAnsi="Arial Narrow" w:cs="Arial"/>
                <w:sz w:val="18"/>
                <w:szCs w:val="18"/>
              </w:rPr>
              <w:t xml:space="preserve">P         </w:t>
            </w:r>
            <w:r w:rsidR="00B4181B">
              <w:rPr>
                <w:rFonts w:ascii="Arial Narrow" w:hAnsi="Arial Narrow" w:cs="Arial"/>
                <w:sz w:val="18"/>
                <w:szCs w:val="18"/>
              </w:rPr>
              <w:t xml:space="preserve">     </w:t>
            </w:r>
            <w:r w:rsidRPr="00AF7F13">
              <w:rPr>
                <w:rFonts w:ascii="Arial Narrow" w:hAnsi="Arial Narrow" w:cs="Arial"/>
                <w:sz w:val="18"/>
                <w:szCs w:val="18"/>
              </w:rPr>
              <w:t>56,540.05</w:t>
            </w:r>
          </w:p>
        </w:tc>
        <w:tc>
          <w:tcPr>
            <w:tcW w:w="1517" w:type="dxa"/>
            <w:tcBorders>
              <w:bottom w:val="single" w:sz="4" w:space="0" w:color="auto"/>
            </w:tcBorders>
          </w:tcPr>
          <w:p w:rsidR="00584B8C" w:rsidRDefault="00584B8C" w:rsidP="000A6DB6">
            <w:pPr>
              <w:jc w:val="both"/>
            </w:pPr>
          </w:p>
        </w:tc>
      </w:tr>
      <w:tr w:rsidR="00D9600A" w:rsidTr="007D6478">
        <w:tc>
          <w:tcPr>
            <w:tcW w:w="880" w:type="dxa"/>
            <w:tcBorders>
              <w:top w:val="single" w:sz="4" w:space="0" w:color="auto"/>
            </w:tcBorders>
          </w:tcPr>
          <w:p w:rsidR="00584B8C" w:rsidRDefault="00584B8C" w:rsidP="004E2D8D">
            <w:r w:rsidRPr="00AF7F13">
              <w:rPr>
                <w:rFonts w:ascii="Arial Narrow" w:hAnsi="Arial Narrow" w:cs="Arial"/>
                <w:sz w:val="18"/>
                <w:szCs w:val="18"/>
              </w:rPr>
              <w:t>2018-002 (15-17)</w:t>
            </w:r>
          </w:p>
        </w:tc>
        <w:tc>
          <w:tcPr>
            <w:tcW w:w="799" w:type="dxa"/>
            <w:tcBorders>
              <w:top w:val="single" w:sz="4" w:space="0" w:color="auto"/>
            </w:tcBorders>
          </w:tcPr>
          <w:p w:rsidR="00584B8C" w:rsidRDefault="00584B8C" w:rsidP="004E2D8D">
            <w:r w:rsidRPr="00AF7F13">
              <w:rPr>
                <w:rFonts w:ascii="Arial Narrow" w:hAnsi="Arial Narrow" w:cs="Arial"/>
                <w:sz w:val="18"/>
                <w:szCs w:val="18"/>
              </w:rPr>
              <w:t>08/16/18</w:t>
            </w:r>
          </w:p>
        </w:tc>
        <w:tc>
          <w:tcPr>
            <w:tcW w:w="1587" w:type="dxa"/>
            <w:tcBorders>
              <w:top w:val="single" w:sz="4" w:space="0" w:color="auto"/>
            </w:tcBorders>
          </w:tcPr>
          <w:p w:rsidR="00584B8C" w:rsidRDefault="00584B8C" w:rsidP="000A6DB6">
            <w:pPr>
              <w:jc w:val="both"/>
              <w:rPr>
                <w:rFonts w:ascii="Arial Narrow" w:hAnsi="Arial Narrow" w:cs="Arial"/>
                <w:sz w:val="18"/>
                <w:szCs w:val="18"/>
              </w:rPr>
            </w:pPr>
            <w:r w:rsidRPr="00AF7F13">
              <w:rPr>
                <w:rFonts w:ascii="Arial Narrow" w:hAnsi="Arial Narrow" w:cs="Arial"/>
                <w:sz w:val="18"/>
                <w:szCs w:val="18"/>
              </w:rPr>
              <w:t>Representing overpriced procurement of lotto paper supplies from TMA Pty Limited, through its subsidiary TMA Group Philippines.</w:t>
            </w:r>
          </w:p>
          <w:p w:rsidR="007D6478" w:rsidRDefault="007D6478" w:rsidP="000A6DB6">
            <w:pPr>
              <w:jc w:val="both"/>
            </w:pPr>
          </w:p>
        </w:tc>
        <w:tc>
          <w:tcPr>
            <w:tcW w:w="1464" w:type="dxa"/>
            <w:tcBorders>
              <w:top w:val="single" w:sz="4" w:space="0" w:color="auto"/>
            </w:tcBorders>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291,481,782.50</w:t>
            </w:r>
          </w:p>
          <w:p w:rsidR="00584B8C" w:rsidRDefault="00584B8C" w:rsidP="000A6DB6">
            <w:pPr>
              <w:jc w:val="right"/>
            </w:pPr>
          </w:p>
        </w:tc>
        <w:tc>
          <w:tcPr>
            <w:tcW w:w="1173" w:type="dxa"/>
            <w:tcBorders>
              <w:top w:val="single" w:sz="4" w:space="0" w:color="auto"/>
            </w:tcBorders>
          </w:tcPr>
          <w:p w:rsidR="00584B8C" w:rsidRDefault="00B4181B" w:rsidP="000A6DB6">
            <w:pPr>
              <w:jc w:val="right"/>
            </w:pPr>
            <w:r>
              <w:rPr>
                <w:rFonts w:ascii="Arial Narrow" w:hAnsi="Arial Narrow" w:cs="Arial"/>
                <w:sz w:val="18"/>
                <w:szCs w:val="18"/>
              </w:rPr>
              <w:t xml:space="preserve">                </w:t>
            </w:r>
            <w:r w:rsidR="00584B8C" w:rsidRPr="00AF7F13">
              <w:rPr>
                <w:rFonts w:ascii="Arial Narrow" w:hAnsi="Arial Narrow" w:cs="Arial"/>
                <w:sz w:val="18"/>
                <w:szCs w:val="18"/>
              </w:rPr>
              <w:t>0.00</w:t>
            </w:r>
          </w:p>
        </w:tc>
        <w:tc>
          <w:tcPr>
            <w:tcW w:w="1585" w:type="dxa"/>
            <w:tcBorders>
              <w:top w:val="single" w:sz="4" w:space="0" w:color="auto"/>
            </w:tcBorders>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291,481,782.50</w:t>
            </w:r>
          </w:p>
          <w:p w:rsidR="00584B8C" w:rsidRDefault="00584B8C" w:rsidP="000A6DB6">
            <w:pPr>
              <w:jc w:val="right"/>
            </w:pPr>
          </w:p>
        </w:tc>
        <w:tc>
          <w:tcPr>
            <w:tcW w:w="1517" w:type="dxa"/>
            <w:tcBorders>
              <w:top w:val="single" w:sz="4" w:space="0" w:color="auto"/>
            </w:tcBorders>
          </w:tcPr>
          <w:p w:rsidR="00584B8C" w:rsidRDefault="00584B8C" w:rsidP="000A6DB6">
            <w:pPr>
              <w:jc w:val="both"/>
            </w:pPr>
            <w:r w:rsidRPr="00AF7F13">
              <w:rPr>
                <w:rFonts w:ascii="Arial Narrow" w:hAnsi="Arial Narrow" w:cs="Arial"/>
                <w:sz w:val="18"/>
                <w:szCs w:val="18"/>
              </w:rPr>
              <w:t xml:space="preserve">Management filed </w:t>
            </w:r>
            <w:r>
              <w:rPr>
                <w:rFonts w:ascii="Arial Narrow" w:hAnsi="Arial Narrow" w:cs="Arial"/>
                <w:sz w:val="18"/>
                <w:szCs w:val="18"/>
              </w:rPr>
              <w:t xml:space="preserve">an </w:t>
            </w:r>
            <w:r w:rsidRPr="00AF7F13">
              <w:rPr>
                <w:rFonts w:ascii="Arial Narrow" w:hAnsi="Arial Narrow" w:cs="Arial"/>
                <w:sz w:val="18"/>
                <w:szCs w:val="18"/>
              </w:rPr>
              <w:t xml:space="preserve">appeal in the CGS- Cluster 6 </w:t>
            </w:r>
            <w:r>
              <w:rPr>
                <w:rFonts w:ascii="Arial Narrow" w:hAnsi="Arial Narrow" w:cs="Arial"/>
                <w:sz w:val="18"/>
                <w:szCs w:val="18"/>
              </w:rPr>
              <w:t xml:space="preserve">for the </w:t>
            </w:r>
            <w:r w:rsidRPr="00AF7F13">
              <w:rPr>
                <w:rFonts w:ascii="Arial Narrow" w:hAnsi="Arial Narrow" w:cs="Arial"/>
                <w:sz w:val="18"/>
                <w:szCs w:val="18"/>
              </w:rPr>
              <w:t>total</w:t>
            </w:r>
            <w:r>
              <w:rPr>
                <w:rFonts w:ascii="Arial Narrow" w:hAnsi="Arial Narrow" w:cs="Arial"/>
                <w:sz w:val="18"/>
                <w:szCs w:val="18"/>
              </w:rPr>
              <w:t xml:space="preserve"> amount of</w:t>
            </w:r>
            <w:r w:rsidRPr="00AF7F13">
              <w:rPr>
                <w:rFonts w:ascii="Arial Narrow" w:hAnsi="Arial Narrow" w:cs="Arial"/>
                <w:sz w:val="18"/>
                <w:szCs w:val="18"/>
              </w:rPr>
              <w:t xml:space="preserve"> P291,481,782.50. </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2018-001 (16)</w:t>
            </w:r>
          </w:p>
          <w:p w:rsidR="00584B8C" w:rsidRDefault="00584B8C" w:rsidP="004E2D8D"/>
        </w:tc>
        <w:tc>
          <w:tcPr>
            <w:tcW w:w="799" w:type="dxa"/>
          </w:tcPr>
          <w:p w:rsidR="00584B8C" w:rsidRDefault="00584B8C" w:rsidP="004E2D8D">
            <w:r w:rsidRPr="00AF7F13">
              <w:rPr>
                <w:rFonts w:ascii="Arial Narrow" w:hAnsi="Arial Narrow" w:cs="Arial"/>
                <w:sz w:val="18"/>
                <w:szCs w:val="18"/>
              </w:rPr>
              <w:t>02/26/18</w:t>
            </w:r>
          </w:p>
        </w:tc>
        <w:tc>
          <w:tcPr>
            <w:tcW w:w="158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Various allowances, bonuses and other personal benefits of </w:t>
            </w:r>
            <w:r w:rsidRPr="00AF7F13">
              <w:rPr>
                <w:rFonts w:ascii="Arial Narrow" w:hAnsi="Arial Narrow" w:cs="Arial"/>
                <w:sz w:val="18"/>
                <w:szCs w:val="18"/>
              </w:rPr>
              <w:lastRenderedPageBreak/>
              <w:t>the officials and employees of PCSO.</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    </w:t>
            </w:r>
            <w:r w:rsidR="00B4181B">
              <w:rPr>
                <w:rFonts w:ascii="Arial Narrow" w:hAnsi="Arial Narrow" w:cs="Arial"/>
                <w:sz w:val="18"/>
                <w:szCs w:val="18"/>
              </w:rPr>
              <w:t xml:space="preserve"> </w:t>
            </w:r>
            <w:r w:rsidRPr="00AF7F13">
              <w:rPr>
                <w:rFonts w:ascii="Arial Narrow" w:hAnsi="Arial Narrow" w:cs="Arial"/>
                <w:sz w:val="18"/>
                <w:szCs w:val="18"/>
              </w:rPr>
              <w:t xml:space="preserve">519,924,765.44 </w:t>
            </w:r>
          </w:p>
          <w:p w:rsidR="00584B8C" w:rsidRDefault="00584B8C" w:rsidP="000A6DB6">
            <w:pPr>
              <w:jc w:val="right"/>
            </w:pPr>
          </w:p>
        </w:tc>
        <w:tc>
          <w:tcPr>
            <w:tcW w:w="1173" w:type="dxa"/>
          </w:tcPr>
          <w:p w:rsidR="00584B8C" w:rsidRDefault="00584B8C" w:rsidP="000A6DB6">
            <w:pPr>
              <w:jc w:val="right"/>
            </w:pPr>
            <w:r w:rsidRPr="00AF7F13">
              <w:rPr>
                <w:rFonts w:ascii="Arial Narrow" w:hAnsi="Arial Narrow" w:cs="Arial"/>
                <w:sz w:val="18"/>
                <w:szCs w:val="18"/>
              </w:rPr>
              <w:t xml:space="preserve">       0.00   </w:t>
            </w: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519,924,765.44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w:t>
            </w:r>
            <w:r w:rsidRPr="00AF7F13">
              <w:rPr>
                <w:rFonts w:ascii="Arial Narrow" w:hAnsi="Arial Narrow" w:cs="Arial"/>
                <w:sz w:val="18"/>
                <w:szCs w:val="18"/>
              </w:rPr>
              <w:lastRenderedPageBreak/>
              <w:t xml:space="preserve">its Decision No. 2018-021 dated June 11, 2018.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ND. No. 2017-004 (16-17)</w:t>
            </w:r>
          </w:p>
          <w:p w:rsidR="00584B8C" w:rsidRDefault="00584B8C" w:rsidP="004E2D8D"/>
        </w:tc>
        <w:tc>
          <w:tcPr>
            <w:tcW w:w="799" w:type="dxa"/>
          </w:tcPr>
          <w:p w:rsidR="00584B8C" w:rsidRDefault="00584B8C" w:rsidP="004E2D8D">
            <w:r w:rsidRPr="00AF7F13">
              <w:rPr>
                <w:rFonts w:ascii="Arial Narrow" w:hAnsi="Arial Narrow" w:cs="Arial"/>
                <w:sz w:val="18"/>
                <w:szCs w:val="18"/>
              </w:rPr>
              <w:t>09/07/17</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Car Loan and Assistance Plan (CLAP)</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5,271,389.11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 xml:space="preserve">0.00   </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5,271,389.11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Disallowance is currently under appeal with COA, CGS – Cluster 6</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 xml:space="preserve">PCSO-2016-001-(15) </w:t>
            </w:r>
          </w:p>
          <w:p w:rsidR="00584B8C" w:rsidRDefault="00584B8C" w:rsidP="004E2D8D"/>
        </w:tc>
        <w:tc>
          <w:tcPr>
            <w:tcW w:w="799" w:type="dxa"/>
          </w:tcPr>
          <w:p w:rsidR="00584B8C" w:rsidRDefault="00584B8C" w:rsidP="004E2D8D">
            <w:r w:rsidRPr="00AF7F13">
              <w:rPr>
                <w:rFonts w:ascii="Arial Narrow" w:hAnsi="Arial Narrow" w:cs="Arial"/>
                <w:sz w:val="18"/>
                <w:szCs w:val="18"/>
              </w:rPr>
              <w:t>11/25/16</w:t>
            </w:r>
          </w:p>
        </w:tc>
        <w:tc>
          <w:tcPr>
            <w:tcW w:w="158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Excess Representation &amp; Transportation Allowance &amp; Clothing Allowance</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8,897,112.75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 xml:space="preserve">0.00       </w:t>
            </w:r>
          </w:p>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 xml:space="preserve">       </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8,897,112.75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Disallowances are currently under appeal with COA, CGS – Cluster 6</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 xml:space="preserve">PCSO-2016-002-(15) </w:t>
            </w:r>
          </w:p>
          <w:p w:rsidR="00584B8C" w:rsidRDefault="00584B8C" w:rsidP="004E2D8D"/>
        </w:tc>
        <w:tc>
          <w:tcPr>
            <w:tcW w:w="799" w:type="dxa"/>
          </w:tcPr>
          <w:p w:rsidR="00584B8C" w:rsidRDefault="00584B8C" w:rsidP="004E2D8D">
            <w:r w:rsidRPr="00AF7F13">
              <w:rPr>
                <w:rFonts w:ascii="Arial Narrow" w:hAnsi="Arial Narrow" w:cs="Arial"/>
                <w:sz w:val="18"/>
                <w:szCs w:val="18"/>
              </w:rPr>
              <w:t>11/25/16</w:t>
            </w:r>
          </w:p>
        </w:tc>
        <w:tc>
          <w:tcPr>
            <w:tcW w:w="1587" w:type="dxa"/>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Staple Food Allowance, Medicine Allowance, Hazard Pay &amp; Weekly Draw Allowance</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71,996,100.00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 xml:space="preserve">       </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71,996,100.00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Disallowances are currently under appeal with COA, CGS – Cluster 6</w:t>
            </w:r>
          </w:p>
        </w:tc>
      </w:tr>
      <w:tr w:rsidR="00D9600A" w:rsidTr="007D6478">
        <w:tc>
          <w:tcPr>
            <w:tcW w:w="880" w:type="dxa"/>
          </w:tcPr>
          <w:p w:rsidR="00584B8C" w:rsidRPr="00AF7F13" w:rsidRDefault="00584B8C" w:rsidP="004E2D8D">
            <w:pPr>
              <w:spacing w:before="20"/>
              <w:rPr>
                <w:rFonts w:ascii="Arial Narrow" w:hAnsi="Arial Narrow" w:cs="Arial"/>
                <w:sz w:val="18"/>
                <w:szCs w:val="18"/>
              </w:rPr>
            </w:pPr>
            <w:r w:rsidRPr="00AF7F13">
              <w:rPr>
                <w:rFonts w:ascii="Arial Narrow" w:hAnsi="Arial Narrow" w:cs="Arial"/>
                <w:sz w:val="18"/>
                <w:szCs w:val="18"/>
              </w:rPr>
              <w:t xml:space="preserve">PCSO-2016-003-(15) </w:t>
            </w:r>
          </w:p>
          <w:p w:rsidR="00584B8C" w:rsidRDefault="00584B8C" w:rsidP="004E2D8D"/>
        </w:tc>
        <w:tc>
          <w:tcPr>
            <w:tcW w:w="799" w:type="dxa"/>
          </w:tcPr>
          <w:p w:rsidR="00584B8C" w:rsidRDefault="00584B8C" w:rsidP="004E2D8D">
            <w:r w:rsidRPr="00AF7F13">
              <w:rPr>
                <w:rFonts w:ascii="Arial Narrow" w:hAnsi="Arial Narrow" w:cs="Arial"/>
                <w:sz w:val="18"/>
                <w:szCs w:val="18"/>
              </w:rPr>
              <w:t>11/25/16</w:t>
            </w:r>
          </w:p>
        </w:tc>
        <w:tc>
          <w:tcPr>
            <w:tcW w:w="1587" w:type="dxa"/>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Christmas Bonus, Grocery Bonus, Revenue Performance Incentive Pay (RPIP) &amp; Educational Assistance Bonus (EAB)</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     225,143,080.07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Pr="00AF7F13" w:rsidRDefault="00584B8C" w:rsidP="000A6DB6">
            <w:pPr>
              <w:spacing w:before="20"/>
              <w:ind w:left="-648" w:firstLine="648"/>
              <w:jc w:val="right"/>
              <w:rPr>
                <w:rFonts w:ascii="Arial Narrow" w:hAnsi="Arial Narrow" w:cs="Arial"/>
                <w:sz w:val="18"/>
                <w:szCs w:val="18"/>
              </w:rPr>
            </w:pP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225,143,080.07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Disallowances are currently under appeal with COA, CGS – Cluster 6</w:t>
            </w:r>
          </w:p>
        </w:tc>
      </w:tr>
      <w:tr w:rsidR="00D9600A" w:rsidTr="007D6478">
        <w:tc>
          <w:tcPr>
            <w:tcW w:w="880" w:type="dxa"/>
          </w:tcPr>
          <w:p w:rsidR="00584B8C" w:rsidRPr="00AF7F13" w:rsidRDefault="00584B8C" w:rsidP="004E2D8D">
            <w:pPr>
              <w:spacing w:before="20"/>
              <w:rPr>
                <w:rFonts w:ascii="Arial Narrow" w:hAnsi="Arial Narrow" w:cs="Arial"/>
                <w:sz w:val="18"/>
                <w:szCs w:val="18"/>
              </w:rPr>
            </w:pPr>
            <w:r w:rsidRPr="00AF7F13">
              <w:rPr>
                <w:rFonts w:ascii="Arial Narrow" w:hAnsi="Arial Narrow" w:cs="Arial"/>
                <w:sz w:val="18"/>
                <w:szCs w:val="18"/>
              </w:rPr>
              <w:t>PCSO 2015-003 (14)</w:t>
            </w:r>
          </w:p>
          <w:p w:rsidR="00584B8C" w:rsidRDefault="00584B8C" w:rsidP="004E2D8D"/>
        </w:tc>
        <w:tc>
          <w:tcPr>
            <w:tcW w:w="799" w:type="dxa"/>
          </w:tcPr>
          <w:p w:rsidR="00584B8C" w:rsidRDefault="00584B8C" w:rsidP="000A6DB6">
            <w:pPr>
              <w:jc w:val="both"/>
            </w:pPr>
            <w:r w:rsidRPr="00AF7F13">
              <w:rPr>
                <w:rFonts w:ascii="Arial Narrow" w:hAnsi="Arial Narrow" w:cs="Arial"/>
                <w:sz w:val="18"/>
                <w:szCs w:val="18"/>
              </w:rPr>
              <w:t>11/02/15</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CNA Christmas Bonus, CNA Christmas Grocery Bonus, Revenue Performance Incentive Pay (RPIP) and CNA Educational Assistance Bonus of  PCSO Head Office's officials and employees for CY 2014</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209,713,385.52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209,713,385.52 </w:t>
            </w:r>
          </w:p>
          <w:p w:rsidR="00584B8C" w:rsidRDefault="00584B8C" w:rsidP="000A6DB6">
            <w:pPr>
              <w:jc w:val="right"/>
            </w:pPr>
          </w:p>
        </w:tc>
        <w:tc>
          <w:tcPr>
            <w:tcW w:w="1517" w:type="dxa"/>
          </w:tcPr>
          <w:p w:rsidR="00584B8C" w:rsidRDefault="00584B8C" w:rsidP="007D6478">
            <w:pPr>
              <w:spacing w:before="20"/>
              <w:jc w:val="both"/>
            </w:pPr>
            <w:r w:rsidRPr="00AF7F13">
              <w:rPr>
                <w:rFonts w:ascii="Arial Narrow" w:hAnsi="Arial Narrow" w:cs="Arial"/>
                <w:sz w:val="18"/>
                <w:szCs w:val="18"/>
              </w:rPr>
              <w:t>Answer to appeal for ND Nos. PCSO-2015-001-(14) to 2015-003-(14), all dated November 2, 2015, was transmitted to the Office of the Director, CGS Cluster 6 on March 9, 2016, in compliance with the Director’s order dated January 16, 2016.</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2015-002 (14)</w:t>
            </w:r>
          </w:p>
          <w:p w:rsidR="00584B8C" w:rsidRDefault="00584B8C" w:rsidP="004E2D8D"/>
        </w:tc>
        <w:tc>
          <w:tcPr>
            <w:tcW w:w="799" w:type="dxa"/>
          </w:tcPr>
          <w:p w:rsidR="00584B8C" w:rsidRDefault="00584B8C" w:rsidP="004E2D8D">
            <w:r w:rsidRPr="00AF7F13">
              <w:rPr>
                <w:rFonts w:ascii="Arial Narrow" w:hAnsi="Arial Narrow" w:cs="Arial"/>
                <w:sz w:val="18"/>
                <w:szCs w:val="18"/>
              </w:rPr>
              <w:t>11/02/15</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Staple Food Allowance, Medicine Allowance, Hazard Pay and Weekly Draw Allowance of  PCSO Head Office's officials and employees for CY 2014</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67,204,350.43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67,204,350.43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Answer to appeal for ND Nos. PCSO-2015-001-(14) to 2015-003-(14), all dated November 2, 2015, was transmitted to the Office of the Director, CGS Cluster 6 on March </w:t>
            </w:r>
            <w:r w:rsidRPr="00AF7F13">
              <w:rPr>
                <w:rFonts w:ascii="Arial Narrow" w:hAnsi="Arial Narrow" w:cs="Arial"/>
                <w:sz w:val="18"/>
                <w:szCs w:val="18"/>
              </w:rPr>
              <w:lastRenderedPageBreak/>
              <w:t>9, 2016, in compliance with the Director’s order dated January 16, 2016.</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 2015-001 (14)</w:t>
            </w:r>
          </w:p>
          <w:p w:rsidR="00584B8C" w:rsidRDefault="00584B8C" w:rsidP="004E2D8D"/>
        </w:tc>
        <w:tc>
          <w:tcPr>
            <w:tcW w:w="799" w:type="dxa"/>
          </w:tcPr>
          <w:p w:rsidR="00584B8C" w:rsidRDefault="00584B8C" w:rsidP="004E2D8D">
            <w:r w:rsidRPr="00AF7F13">
              <w:rPr>
                <w:rFonts w:ascii="Arial Narrow" w:hAnsi="Arial Narrow" w:cs="Arial"/>
                <w:sz w:val="18"/>
                <w:szCs w:val="18"/>
              </w:rPr>
              <w:t>11/02/15</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Excess Representation Allowance and Transportation Allowance (RATA)  and Uniform Allowance of  PCSO Head Office's officials and employees for CY 2014</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10,019,307.25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10,019,307.25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Answer to appeal for ND Nos. PCSO-2015-001-(14) to 2015-003-(14), all dated November 2, 2015, was transmitted to the Office of the Director, CGS Cluster 6 on March 9, 2016, in compliance with the Director’s order dated January 16, 2016.</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PCSO-2015-001 (STBR-13)</w:t>
            </w:r>
          </w:p>
          <w:p w:rsidR="00584B8C" w:rsidRDefault="00584B8C" w:rsidP="004E2D8D"/>
        </w:tc>
        <w:tc>
          <w:tcPr>
            <w:tcW w:w="799" w:type="dxa"/>
          </w:tcPr>
          <w:p w:rsidR="00584B8C" w:rsidRDefault="00584B8C" w:rsidP="004E2D8D">
            <w:r w:rsidRPr="00AF7F13">
              <w:rPr>
                <w:rFonts w:ascii="Arial Narrow" w:hAnsi="Arial Narrow" w:cs="Arial"/>
                <w:sz w:val="18"/>
                <w:szCs w:val="18"/>
              </w:rPr>
              <w:t>01/28/15</w:t>
            </w:r>
          </w:p>
        </w:tc>
        <w:tc>
          <w:tcPr>
            <w:tcW w:w="1587" w:type="dxa"/>
            <w:vAlign w:val="center"/>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(WDA) to STBR  Branche's officers and employees for the period December 30, 2012 to December 31,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3,321,300.00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3,321,300.00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COA, CGS – Cluster 6 affirmed the ND in its Decision No. 2018-037 dated September 25, 2018.</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PCSO-2014-012 (MIN-13)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vAlign w:val="center"/>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Cost of Living Allowance (COLA) to Mindanao  Branche's officers and employees for the period April to December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1,383,395.26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1,383,395.26 </w:t>
            </w:r>
          </w:p>
          <w:p w:rsidR="00584B8C" w:rsidRDefault="00584B8C" w:rsidP="000A6DB6">
            <w:pPr>
              <w:jc w:val="right"/>
            </w:pPr>
          </w:p>
        </w:tc>
        <w:tc>
          <w:tcPr>
            <w:tcW w:w="1517" w:type="dxa"/>
          </w:tcPr>
          <w:p w:rsidR="00584B8C" w:rsidRDefault="00584B8C" w:rsidP="000A6DB6">
            <w:pPr>
              <w:jc w:val="both"/>
              <w:rPr>
                <w:rFonts w:ascii="Arial Narrow" w:hAnsi="Arial Narrow" w:cs="Arial"/>
                <w:sz w:val="18"/>
                <w:szCs w:val="18"/>
              </w:rPr>
            </w:pPr>
            <w:r w:rsidRPr="00AF7F13">
              <w:rPr>
                <w:rFonts w:ascii="Arial Narrow" w:hAnsi="Arial Narrow" w:cs="Arial"/>
                <w:sz w:val="18"/>
                <w:szCs w:val="18"/>
              </w:rPr>
              <w:t>Management filed</w:t>
            </w:r>
            <w:r>
              <w:rPr>
                <w:rFonts w:ascii="Arial Narrow" w:hAnsi="Arial Narrow" w:cs="Arial"/>
                <w:sz w:val="18"/>
                <w:szCs w:val="18"/>
              </w:rPr>
              <w:t xml:space="preserve"> an</w:t>
            </w:r>
            <w:r w:rsidRPr="00AF7F13">
              <w:rPr>
                <w:rFonts w:ascii="Arial Narrow" w:hAnsi="Arial Narrow" w:cs="Arial"/>
                <w:sz w:val="18"/>
                <w:szCs w:val="18"/>
              </w:rPr>
              <w:t xml:space="preserve"> appeal in the CGS- CDO 6 </w:t>
            </w:r>
            <w:r>
              <w:rPr>
                <w:rFonts w:ascii="Arial Narrow" w:hAnsi="Arial Narrow" w:cs="Arial"/>
                <w:sz w:val="18"/>
                <w:szCs w:val="18"/>
              </w:rPr>
              <w:t xml:space="preserve">for the total amount of </w:t>
            </w:r>
            <w:r w:rsidRPr="00AF7F13">
              <w:rPr>
                <w:rFonts w:ascii="Arial Narrow" w:hAnsi="Arial Narrow" w:cs="Arial"/>
                <w:sz w:val="18"/>
                <w:szCs w:val="18"/>
              </w:rPr>
              <w:t>P1</w:t>
            </w:r>
            <w:r>
              <w:rPr>
                <w:rFonts w:ascii="Arial Narrow" w:hAnsi="Arial Narrow" w:cs="Arial"/>
                <w:sz w:val="18"/>
                <w:szCs w:val="18"/>
              </w:rPr>
              <w:t>,</w:t>
            </w:r>
            <w:r w:rsidRPr="00AF7F13">
              <w:rPr>
                <w:rFonts w:ascii="Arial Narrow" w:hAnsi="Arial Narrow" w:cs="Arial"/>
                <w:sz w:val="18"/>
                <w:szCs w:val="18"/>
              </w:rPr>
              <w:t>383</w:t>
            </w:r>
            <w:r>
              <w:rPr>
                <w:rFonts w:ascii="Arial Narrow" w:hAnsi="Arial Narrow" w:cs="Arial"/>
                <w:sz w:val="18"/>
                <w:szCs w:val="18"/>
              </w:rPr>
              <w:t>,</w:t>
            </w:r>
            <w:r w:rsidRPr="00AF7F13">
              <w:rPr>
                <w:rFonts w:ascii="Arial Narrow" w:hAnsi="Arial Narrow" w:cs="Arial"/>
                <w:sz w:val="18"/>
                <w:szCs w:val="18"/>
              </w:rPr>
              <w:t>395.26. The CGS- CDO 6 is yet to issue its decision on this matter</w:t>
            </w:r>
            <w:r w:rsidR="001410E4">
              <w:rPr>
                <w:rFonts w:ascii="Arial Narrow" w:hAnsi="Arial Narrow" w:cs="Arial"/>
                <w:sz w:val="18"/>
                <w:szCs w:val="18"/>
              </w:rPr>
              <w:t>.</w:t>
            </w:r>
          </w:p>
          <w:p w:rsidR="001410E4" w:rsidRDefault="001410E4"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PCSO-2014-011 (VIS-13)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vAlign w:val="center"/>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Cost of Living Allowance (COLA) to Visayas  Branche's officers and employees for the period April to December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1,459,453.60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1,459,453.60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2017-032 dated August 3, 2017.</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PCSO-2014-010 (STBR-13)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Payment of Cost of Living Allowance (COLA) to PCSO Southern Tagalog &amp; Bicol Region (STBR) Branches’ officers </w:t>
            </w:r>
            <w:r w:rsidRPr="00AF7F13">
              <w:rPr>
                <w:rFonts w:ascii="Arial Narrow" w:hAnsi="Arial Narrow" w:cs="Arial"/>
                <w:sz w:val="18"/>
                <w:szCs w:val="18"/>
              </w:rPr>
              <w:lastRenderedPageBreak/>
              <w:t>and employees for the period April to December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1,595,636.42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1,595,636.42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2018-037 dated September 25, </w:t>
            </w:r>
            <w:r w:rsidRPr="00AF7F13">
              <w:rPr>
                <w:rFonts w:ascii="Arial Narrow" w:hAnsi="Arial Narrow" w:cs="Arial"/>
                <w:sz w:val="18"/>
                <w:szCs w:val="18"/>
              </w:rPr>
              <w:lastRenderedPageBreak/>
              <w:t>2018.</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PCSO-2014-009 (NCL-13)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vAlign w:val="center"/>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Cost of Living Allowance (COLA) to PCSO Northern and Central Luzon (NCL) Branches</w:t>
            </w:r>
            <w:r w:rsidR="001410E4">
              <w:rPr>
                <w:rFonts w:ascii="Arial Narrow" w:hAnsi="Arial Narrow" w:cs="Arial"/>
                <w:sz w:val="18"/>
                <w:szCs w:val="18"/>
              </w:rPr>
              <w:t>’</w:t>
            </w:r>
            <w:r w:rsidRPr="00AF7F13">
              <w:rPr>
                <w:rFonts w:ascii="Arial Narrow" w:hAnsi="Arial Narrow" w:cs="Arial"/>
                <w:sz w:val="18"/>
                <w:szCs w:val="18"/>
              </w:rPr>
              <w:t xml:space="preserve"> officers and employees for</w:t>
            </w:r>
            <w:r w:rsidR="001410E4">
              <w:rPr>
                <w:rFonts w:ascii="Arial Narrow" w:hAnsi="Arial Narrow" w:cs="Arial"/>
                <w:sz w:val="18"/>
                <w:szCs w:val="18"/>
              </w:rPr>
              <w:t xml:space="preserve"> </w:t>
            </w:r>
            <w:r w:rsidRPr="00AF7F13">
              <w:rPr>
                <w:rFonts w:ascii="Arial Narrow" w:hAnsi="Arial Narrow" w:cs="Arial"/>
                <w:sz w:val="18"/>
                <w:szCs w:val="18"/>
              </w:rPr>
              <w:t>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1,581,181.24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1,581,181.24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disallowance in its Decision No. 2018-048 dated October 26, 2018.  </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PCSO-2014-008 (NCL-13)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(WDA) to PCSO Northern and Central Luzon (NCL) Branches</w:t>
            </w:r>
            <w:r w:rsidR="001410E4">
              <w:rPr>
                <w:rFonts w:ascii="Arial Narrow" w:hAnsi="Arial Narrow" w:cs="Arial"/>
                <w:sz w:val="18"/>
                <w:szCs w:val="18"/>
              </w:rPr>
              <w:t>’</w:t>
            </w:r>
            <w:r w:rsidRPr="00AF7F13">
              <w:rPr>
                <w:rFonts w:ascii="Arial Narrow" w:hAnsi="Arial Narrow" w:cs="Arial"/>
                <w:sz w:val="18"/>
                <w:szCs w:val="18"/>
              </w:rPr>
              <w:t xml:space="preserve"> officers and employees for the period December 30, 2012 to December 28,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3,373,400.00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3,373,400.00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disallowance in its Decision No. 2018-048 dated October 26, 2018.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PCSO-2014-007 (13)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Cost of Living Allowance (COLA) of  PCSO Head Office's officials and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19,450,999.77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19,450,999.77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2015-012 dated July 2, 2015. Petitioner PCSO, et. al., filed its Petition for Review before the CP on August 12, 2015</w:t>
            </w:r>
            <w:r>
              <w:rPr>
                <w:rFonts w:ascii="Arial Narrow" w:hAnsi="Arial Narrow" w:cs="Arial"/>
                <w:sz w:val="18"/>
                <w:szCs w:val="18"/>
              </w:rPr>
              <w:t xml:space="preserve"> (</w:t>
            </w:r>
            <w:r w:rsidRPr="00AF7F13">
              <w:rPr>
                <w:rFonts w:ascii="Arial Narrow" w:hAnsi="Arial Narrow" w:cs="Arial"/>
                <w:sz w:val="18"/>
                <w:szCs w:val="18"/>
              </w:rPr>
              <w:t>COA CP Case No. 2015-508</w:t>
            </w:r>
            <w:r>
              <w:rPr>
                <w:rFonts w:ascii="Arial Narrow" w:hAnsi="Arial Narrow" w:cs="Arial"/>
                <w:sz w:val="18"/>
                <w:szCs w:val="18"/>
              </w:rPr>
              <w:t>)</w:t>
            </w:r>
            <w:r w:rsidRPr="00AF7F13">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PCSO-2014-006 (13)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(WDA) of  PCSO Head Office's officials and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33,535,150.00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33,535,150.00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2015-012 dated July 2, 2015. Petitioner PCSO, et. al., filed its Petition for Review before the CP on August 12, 2015</w:t>
            </w:r>
            <w:r>
              <w:rPr>
                <w:rFonts w:ascii="Arial Narrow" w:hAnsi="Arial Narrow" w:cs="Arial"/>
                <w:sz w:val="18"/>
                <w:szCs w:val="18"/>
              </w:rPr>
              <w:t xml:space="preserve"> (</w:t>
            </w:r>
            <w:r w:rsidRPr="00AF7F13">
              <w:rPr>
                <w:rFonts w:ascii="Arial Narrow" w:hAnsi="Arial Narrow" w:cs="Arial"/>
                <w:sz w:val="18"/>
                <w:szCs w:val="18"/>
              </w:rPr>
              <w:t>COA CP Case No. 2015-508</w:t>
            </w:r>
            <w:r>
              <w:rPr>
                <w:rFonts w:ascii="Arial Narrow" w:hAnsi="Arial Narrow" w:cs="Arial"/>
                <w:sz w:val="18"/>
                <w:szCs w:val="18"/>
              </w:rPr>
              <w:t>)</w:t>
            </w:r>
            <w:r w:rsidRPr="00AF7F13">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 xml:space="preserve">PCSO-2014-005 </w:t>
            </w:r>
            <w:r w:rsidRPr="00AF7F13">
              <w:rPr>
                <w:rFonts w:ascii="Arial Narrow" w:hAnsi="Arial Narrow" w:cs="Arial"/>
                <w:sz w:val="18"/>
                <w:szCs w:val="18"/>
              </w:rPr>
              <w:lastRenderedPageBreak/>
              <w:t>(13)</w:t>
            </w:r>
          </w:p>
          <w:p w:rsidR="00584B8C" w:rsidRDefault="00584B8C" w:rsidP="004E2D8D"/>
        </w:tc>
        <w:tc>
          <w:tcPr>
            <w:tcW w:w="799" w:type="dxa"/>
          </w:tcPr>
          <w:p w:rsidR="00584B8C" w:rsidRDefault="00584B8C" w:rsidP="004E2D8D">
            <w:r w:rsidRPr="00AF7F13">
              <w:rPr>
                <w:rFonts w:ascii="Arial Narrow" w:hAnsi="Arial Narrow" w:cs="Arial"/>
                <w:sz w:val="18"/>
                <w:szCs w:val="18"/>
              </w:rPr>
              <w:lastRenderedPageBreak/>
              <w:t>12/15/14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Payment of CNA Christmas Bonus, </w:t>
            </w:r>
            <w:r w:rsidRPr="00AF7F13">
              <w:rPr>
                <w:rFonts w:ascii="Arial Narrow" w:hAnsi="Arial Narrow" w:cs="Arial"/>
                <w:sz w:val="18"/>
                <w:szCs w:val="18"/>
              </w:rPr>
              <w:lastRenderedPageBreak/>
              <w:t>Christmas Grocery Bonus and Revenue Performance Incentive Pay (RPIP) of  PCSO Head Office's officials and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151,399,224.20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151,399,224.20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w:t>
            </w:r>
            <w:r w:rsidRPr="00AF7F13">
              <w:rPr>
                <w:rFonts w:ascii="Arial Narrow" w:hAnsi="Arial Narrow" w:cs="Arial"/>
                <w:sz w:val="18"/>
                <w:szCs w:val="18"/>
              </w:rPr>
              <w:lastRenderedPageBreak/>
              <w:t xml:space="preserve">the </w:t>
            </w:r>
            <w:r>
              <w:rPr>
                <w:rFonts w:ascii="Arial Narrow" w:hAnsi="Arial Narrow" w:cs="Arial"/>
                <w:sz w:val="18"/>
                <w:szCs w:val="18"/>
              </w:rPr>
              <w:t>disallowance</w:t>
            </w:r>
            <w:r w:rsidRPr="00AF7F13">
              <w:rPr>
                <w:rFonts w:ascii="Arial Narrow" w:hAnsi="Arial Narrow" w:cs="Arial"/>
                <w:sz w:val="18"/>
                <w:szCs w:val="18"/>
              </w:rPr>
              <w:t xml:space="preserve"> in its Decision No. 2015-012 dated July 2, 2015. Petitioner PCSO, et. al., filed its Petition for Review before the CP on August 12, 2015</w:t>
            </w:r>
            <w:r>
              <w:rPr>
                <w:rFonts w:ascii="Arial Narrow" w:hAnsi="Arial Narrow" w:cs="Arial"/>
                <w:sz w:val="18"/>
                <w:szCs w:val="18"/>
              </w:rPr>
              <w:t xml:space="preserve"> (</w:t>
            </w:r>
            <w:r w:rsidRPr="00AF7F13">
              <w:rPr>
                <w:rFonts w:ascii="Arial Narrow" w:hAnsi="Arial Narrow" w:cs="Arial"/>
                <w:sz w:val="18"/>
                <w:szCs w:val="18"/>
              </w:rPr>
              <w:t>COA CP Case No. 2015-508</w:t>
            </w:r>
            <w:r>
              <w:rPr>
                <w:rFonts w:ascii="Arial Narrow" w:hAnsi="Arial Narrow" w:cs="Arial"/>
                <w:sz w:val="18"/>
                <w:szCs w:val="18"/>
              </w:rPr>
              <w:t>)</w:t>
            </w:r>
            <w:r w:rsidRPr="00AF7F13">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PCSO-2014-004 (13)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Staple Food Allowance, Medicine Allowance and Hazard Pay of  PCSO Head Office's officials and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38,492,005.99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38,492,005.99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2015-012 dated July 2, 2015. Petitioner PCSO, et. al., filed its Petition for Review before the CP on August 12, 2015</w:t>
            </w:r>
            <w:r>
              <w:rPr>
                <w:rFonts w:ascii="Arial Narrow" w:hAnsi="Arial Narrow" w:cs="Arial"/>
                <w:sz w:val="18"/>
                <w:szCs w:val="18"/>
              </w:rPr>
              <w:t xml:space="preserve"> (</w:t>
            </w:r>
            <w:r w:rsidRPr="00AF7F13">
              <w:rPr>
                <w:rFonts w:ascii="Arial Narrow" w:hAnsi="Arial Narrow" w:cs="Arial"/>
                <w:sz w:val="18"/>
                <w:szCs w:val="18"/>
              </w:rPr>
              <w:t>COA CP Case No. 2015-508</w:t>
            </w:r>
            <w:r>
              <w:rPr>
                <w:rFonts w:ascii="Arial Narrow" w:hAnsi="Arial Narrow" w:cs="Arial"/>
                <w:sz w:val="18"/>
                <w:szCs w:val="18"/>
              </w:rPr>
              <w:t>)</w:t>
            </w:r>
            <w:r w:rsidRPr="00AF7F13">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PCSO-2014-003 (13)</w:t>
            </w:r>
          </w:p>
          <w:p w:rsidR="00584B8C" w:rsidRDefault="00584B8C" w:rsidP="004E2D8D"/>
        </w:tc>
        <w:tc>
          <w:tcPr>
            <w:tcW w:w="799" w:type="dxa"/>
          </w:tcPr>
          <w:p w:rsidR="00584B8C" w:rsidRDefault="00584B8C" w:rsidP="004E2D8D">
            <w:r w:rsidRPr="00AF7F13">
              <w:rPr>
                <w:rFonts w:ascii="Arial Narrow" w:hAnsi="Arial Narrow" w:cs="Arial"/>
                <w:sz w:val="18"/>
                <w:szCs w:val="18"/>
              </w:rPr>
              <w:t>12/15/14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Excess Representation Allowance and Transportation Allowance (RATA)  and Uniform Allowance of  PCSO Head Office's officials and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11,917,960.87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11,917,960.87 </w:t>
            </w:r>
          </w:p>
          <w:p w:rsidR="00584B8C" w:rsidRDefault="00584B8C" w:rsidP="000A6DB6">
            <w:pPr>
              <w:jc w:val="right"/>
            </w:pPr>
          </w:p>
        </w:tc>
        <w:tc>
          <w:tcPr>
            <w:tcW w:w="1517" w:type="dxa"/>
          </w:tcPr>
          <w:p w:rsidR="00584B8C" w:rsidRDefault="00584B8C" w:rsidP="000A6DB6">
            <w:pPr>
              <w:jc w:val="both"/>
              <w:rPr>
                <w:rFonts w:ascii="Arial Narrow" w:hAnsi="Arial Narrow" w:cs="Arial"/>
                <w:sz w:val="18"/>
                <w:szCs w:val="18"/>
              </w:rPr>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2015-012 dated July 2, 2015. Petitioner PCSO, et. al., filed its Petition for Review before the CP on August 12, 2015</w:t>
            </w:r>
            <w:r>
              <w:rPr>
                <w:rFonts w:ascii="Arial Narrow" w:hAnsi="Arial Narrow" w:cs="Arial"/>
                <w:sz w:val="18"/>
                <w:szCs w:val="18"/>
              </w:rPr>
              <w:t xml:space="preserve"> (</w:t>
            </w:r>
            <w:r w:rsidRPr="00AF7F13">
              <w:rPr>
                <w:rFonts w:ascii="Arial Narrow" w:hAnsi="Arial Narrow" w:cs="Arial"/>
                <w:sz w:val="18"/>
                <w:szCs w:val="18"/>
              </w:rPr>
              <w:t>COA CP Case No. 2015-508</w:t>
            </w:r>
            <w:r>
              <w:rPr>
                <w:rFonts w:ascii="Arial Narrow" w:hAnsi="Arial Narrow" w:cs="Arial"/>
                <w:sz w:val="18"/>
                <w:szCs w:val="18"/>
              </w:rPr>
              <w:t>)</w:t>
            </w:r>
            <w:r w:rsidRPr="00AF7F13">
              <w:rPr>
                <w:rFonts w:ascii="Arial Narrow" w:hAnsi="Arial Narrow" w:cs="Arial"/>
                <w:sz w:val="18"/>
                <w:szCs w:val="18"/>
              </w:rPr>
              <w:t>.</w:t>
            </w:r>
          </w:p>
          <w:p w:rsidR="00B4181B" w:rsidRDefault="00B4181B"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2014-002 (MIN-13)</w:t>
            </w:r>
          </w:p>
          <w:p w:rsidR="00584B8C" w:rsidRDefault="00584B8C" w:rsidP="004E2D8D"/>
        </w:tc>
        <w:tc>
          <w:tcPr>
            <w:tcW w:w="799" w:type="dxa"/>
          </w:tcPr>
          <w:p w:rsidR="00584B8C" w:rsidRDefault="00584B8C" w:rsidP="004E2D8D">
            <w:r w:rsidRPr="00AF7F13">
              <w:rPr>
                <w:rFonts w:ascii="Arial Narrow" w:hAnsi="Arial Narrow" w:cs="Arial"/>
                <w:sz w:val="18"/>
                <w:szCs w:val="18"/>
              </w:rPr>
              <w:t>06/25/14</w:t>
            </w:r>
          </w:p>
        </w:tc>
        <w:tc>
          <w:tcPr>
            <w:tcW w:w="158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(WDA) to PCSO Mindanao Branches employees for CY 2013</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2,972,800.00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2,972,800.00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Pr>
                <w:rFonts w:ascii="Arial Narrow" w:hAnsi="Arial Narrow" w:cs="Arial"/>
                <w:sz w:val="18"/>
                <w:szCs w:val="18"/>
              </w:rPr>
              <w:t>Disallowance</w:t>
            </w:r>
            <w:r w:rsidRPr="00AF7F13">
              <w:rPr>
                <w:rFonts w:ascii="Arial Narrow" w:hAnsi="Arial Narrow" w:cs="Arial"/>
                <w:sz w:val="18"/>
                <w:szCs w:val="18"/>
              </w:rPr>
              <w:t xml:space="preserve"> is currently under appeal with COA, CGS – Cluster 6</w:t>
            </w:r>
            <w:r w:rsidR="009B6784">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Default="00584B8C" w:rsidP="004E2D8D">
            <w:r w:rsidRPr="00AF7F13">
              <w:rPr>
                <w:rFonts w:ascii="Arial Narrow" w:hAnsi="Arial Narrow" w:cs="Arial"/>
                <w:sz w:val="18"/>
                <w:szCs w:val="18"/>
              </w:rPr>
              <w:t>PCSO 2014-001 (VIS-13)</w:t>
            </w:r>
          </w:p>
        </w:tc>
        <w:tc>
          <w:tcPr>
            <w:tcW w:w="799" w:type="dxa"/>
          </w:tcPr>
          <w:p w:rsidR="00584B8C" w:rsidRDefault="00584B8C" w:rsidP="004E2D8D">
            <w:r w:rsidRPr="00AF7F13">
              <w:rPr>
                <w:rFonts w:ascii="Arial Narrow" w:hAnsi="Arial Narrow" w:cs="Arial"/>
                <w:sz w:val="18"/>
                <w:szCs w:val="18"/>
              </w:rPr>
              <w:t>06/25/14</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(WDA) to PCSO Visayas Branches employees for CY 2013</w:t>
            </w:r>
          </w:p>
          <w:p w:rsidR="00584B8C" w:rsidRDefault="00584B8C" w:rsidP="000A6DB6">
            <w:pPr>
              <w:jc w:val="both"/>
            </w:pPr>
          </w:p>
          <w:p w:rsidR="00D9600A" w:rsidRDefault="00D9600A"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3,139,750.00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3,139,750.00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w:t>
            </w:r>
            <w:r>
              <w:rPr>
                <w:rFonts w:ascii="Arial Narrow" w:hAnsi="Arial Narrow" w:cs="Arial"/>
                <w:sz w:val="18"/>
                <w:szCs w:val="18"/>
              </w:rPr>
              <w:t>disallowance</w:t>
            </w:r>
            <w:r w:rsidRPr="00AF7F13">
              <w:rPr>
                <w:rFonts w:ascii="Arial Narrow" w:hAnsi="Arial Narrow" w:cs="Arial"/>
                <w:sz w:val="18"/>
                <w:szCs w:val="18"/>
              </w:rPr>
              <w:t xml:space="preserve"> in its Decision No. 2018-008 dated February 21, 2018.</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PCSO-2012-009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Benefits of BOD (Draw Allowance)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1,899,000.00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1,899,000.00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The COA Commission Proper issued EN BANC Notice No. 2018-089 on August 16, 2018 for Decision No. 2017-416 dated December 13, 2017 denying motion for reconsideration of the Petition for Review of the Appellant PCSO, et. al., for lack of merit and affirmed ND Nos. PCSO-2012-004 (2011) to 009-(2011) all dated January 10, 2013 in the amount of P13,751,229.25. </w:t>
            </w:r>
          </w:p>
          <w:p w:rsidR="00584B8C" w:rsidRDefault="00584B8C" w:rsidP="000A6DB6">
            <w:pPr>
              <w:jc w:val="both"/>
            </w:pPr>
            <w:r w:rsidRPr="00AF7F13">
              <w:rPr>
                <w:rFonts w:ascii="Arial Narrow" w:hAnsi="Arial Narrow" w:cs="Arial"/>
                <w:sz w:val="18"/>
                <w:szCs w:val="18"/>
              </w:rPr>
              <w:t xml:space="preserve"> </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PCSO-2012-008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Benefits of BOD (Weekly Sweepstakes/Lottery Allowance)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621,000.00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621,000.00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The COA Commission Proper issued EN BANC Notice No. 2018-089 on August 16, 2018 for Decision No. 2017-416 dated December 13, 2017 denying motion for reconsideration of the Petition for Review of the Appellant PCSO, et. al., for lack of merit and affirmed ND Nos. PCSO-2012-004 (2011) to 009-(2011) all dated January 10, 2013 in the amount of P13,751,229.25.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PCSO-2012-007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Benefits of BOD (Anniversary Bonus, Cash Gift, 13th month pay, Grocery Bonus, Xmas Bonus, Educational Assistance, Productivity Incentive Pay, </w:t>
            </w:r>
            <w:r w:rsidRPr="00AF7F13">
              <w:rPr>
                <w:rFonts w:ascii="Arial Narrow" w:hAnsi="Arial Narrow" w:cs="Arial"/>
                <w:sz w:val="18"/>
                <w:szCs w:val="18"/>
              </w:rPr>
              <w:lastRenderedPageBreak/>
              <w:t>Revenue Performance Incentive, Clothing Allowance)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4,379,814.25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4,379,814.25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The COA Commission Proper issued EN BANC Notice No. 2018-089 on August 16, 2018 for Decision No. 2017-416 dated December 13, 2017 denying </w:t>
            </w:r>
            <w:r w:rsidRPr="00AF7F13">
              <w:rPr>
                <w:rFonts w:ascii="Arial Narrow" w:hAnsi="Arial Narrow" w:cs="Arial"/>
                <w:sz w:val="18"/>
                <w:szCs w:val="18"/>
              </w:rPr>
              <w:lastRenderedPageBreak/>
              <w:t xml:space="preserve">motion for reconsideration of the Petition for Review of the Appellant PCSO, et. al., for lack of merit and affirmed ND Nos. PCSO-2012-004 (2011) to 009-(2011) all dated January 10, 2013 in the amount of P13,751,229.25.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PCSO-2012-006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Benefits of BOD (Medical Allowance, Rice Allowance, Staple and Hazard Pay)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590,625.00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590,625.00 </w:t>
            </w:r>
          </w:p>
          <w:p w:rsidR="00584B8C" w:rsidRDefault="00584B8C" w:rsidP="000A6DB6">
            <w:pPr>
              <w:jc w:val="right"/>
            </w:pPr>
          </w:p>
        </w:tc>
        <w:tc>
          <w:tcPr>
            <w:tcW w:w="1517" w:type="dxa"/>
          </w:tcPr>
          <w:p w:rsidR="00D9600A"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The COA Commission Proper issued EN BANC Notice No. 2018-089 on August 16, 2018 for Decision No. 2017-416 dated December 13, 2017 denying motion for reconsideration of the Petition for Review of the Appellant PCSO, et. al., for lack of merit and affirmed ND Nos. PCSO-2012-004 (2011) to 009-(2011) all dated January 10, 2013 in the amount of P13,751,229.25.</w:t>
            </w:r>
          </w:p>
          <w:p w:rsidR="00584B8C" w:rsidRPr="00B4181B"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 </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PCSO-2012-005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Representation allowance, Gasoline allowance, Cost of Living Allowance (COLA), Amelioration of BOD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4,310,790.00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4,310,790.00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The COA Commission Proper issued EN BANC Notice No. 2018-089 on August 16, 2018 for Decision No. 2017-416 dated December 13, 2017 denying motion for reconsideration of the Petition for Review of the Appellant PCSO, et. al., for lack of merit and affirmed ND Nos. PCSO-2012-004 (2011) to 009-(2011) all </w:t>
            </w:r>
            <w:r w:rsidRPr="00AF7F13">
              <w:rPr>
                <w:rFonts w:ascii="Arial Narrow" w:hAnsi="Arial Narrow" w:cs="Arial"/>
                <w:sz w:val="18"/>
                <w:szCs w:val="18"/>
              </w:rPr>
              <w:lastRenderedPageBreak/>
              <w:t xml:space="preserve">dated January 10, 2013 in the amount of P13,751,229.25.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PCSO-2012-004 (2011)</w:t>
            </w:r>
          </w:p>
          <w:p w:rsidR="00584B8C" w:rsidRDefault="00584B8C" w:rsidP="004E2D8D"/>
        </w:tc>
        <w:tc>
          <w:tcPr>
            <w:tcW w:w="799" w:type="dxa"/>
          </w:tcPr>
          <w:p w:rsidR="00584B8C" w:rsidRDefault="00584B8C" w:rsidP="004E2D8D">
            <w:r w:rsidRPr="00AF7F13">
              <w:rPr>
                <w:rFonts w:ascii="Arial Narrow" w:hAnsi="Arial Narrow" w:cs="Arial"/>
                <w:sz w:val="18"/>
                <w:szCs w:val="18"/>
              </w:rPr>
              <w:t>01/10/13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Salaries of Board of Directors (Sept. 15, 2010 to Dec. 31, 2011)</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1,950,000.00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1,950,000.00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The COA Commission Proper issued EN BANC Notice No. 2018-089 on August 16, 2018 for Decision No. 2017-416 dated December 13, 2017 denying motion for reconsideration of the Petition for Review of the Appellant PCSO, et. al., for lack of merit and affirmed ND Nos. PCSO-2012-004 (2011) to 009-(2011) all dated January 10, 2013 in the amount of P13,751,229.25.  </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2013-006 (12)</w:t>
            </w:r>
          </w:p>
          <w:p w:rsidR="00584B8C" w:rsidRDefault="00584B8C" w:rsidP="004E2D8D"/>
        </w:tc>
        <w:tc>
          <w:tcPr>
            <w:tcW w:w="799" w:type="dxa"/>
          </w:tcPr>
          <w:p w:rsidR="00584B8C" w:rsidRDefault="00584B8C" w:rsidP="004E2D8D">
            <w:r w:rsidRPr="00AF7F13">
              <w:rPr>
                <w:rFonts w:ascii="Arial Narrow" w:hAnsi="Arial Narrow" w:cs="Arial"/>
                <w:sz w:val="18"/>
                <w:szCs w:val="18"/>
              </w:rPr>
              <w:t>12/26/13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Payments of Special Share to the PCSO Provident Fund (2011 C.N.A.) under the PCSO Employee Mutual Benefit Fund.</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313,508,123.36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313,508,123.36 </w:t>
            </w:r>
          </w:p>
          <w:p w:rsidR="00584B8C" w:rsidRDefault="00584B8C" w:rsidP="000A6DB6">
            <w:pPr>
              <w:jc w:val="right"/>
            </w:pPr>
          </w:p>
        </w:tc>
        <w:tc>
          <w:tcPr>
            <w:tcW w:w="1517" w:type="dxa"/>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sidR="009B6784">
              <w:rPr>
                <w:rFonts w:ascii="Arial Narrow" w:hAnsi="Arial Narrow" w:cs="Arial"/>
                <w:sz w:val="18"/>
                <w:szCs w:val="18"/>
              </w:rPr>
              <w:t>disallowance</w:t>
            </w:r>
            <w:r w:rsidRPr="00AF7F13">
              <w:rPr>
                <w:rFonts w:ascii="Arial Narrow" w:hAnsi="Arial Narrow" w:cs="Arial"/>
                <w:sz w:val="18"/>
                <w:szCs w:val="18"/>
              </w:rPr>
              <w:t xml:space="preserve"> in its Decision No. 2015-011 dated June 23, 2015. Petitioner PCSO, et. al, filed its Petition for Review before the CP on August 11, 2015. The case is entitled COA CP Case No. 2015-507.</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2013-005 (12)</w:t>
            </w:r>
          </w:p>
          <w:p w:rsidR="00584B8C" w:rsidRDefault="00584B8C" w:rsidP="004E2D8D"/>
        </w:tc>
        <w:tc>
          <w:tcPr>
            <w:tcW w:w="799" w:type="dxa"/>
          </w:tcPr>
          <w:p w:rsidR="00584B8C" w:rsidRDefault="00584B8C" w:rsidP="004E2D8D">
            <w:r w:rsidRPr="00AF7F13">
              <w:rPr>
                <w:rFonts w:ascii="Arial Narrow" w:hAnsi="Arial Narrow" w:cs="Arial"/>
                <w:sz w:val="18"/>
                <w:szCs w:val="18"/>
              </w:rPr>
              <w:t>10/08/13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Availment of two PCSO Board of Directors of the Car Loan Assistance Plan (CLAP).</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1,282,383.00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1,282,383.00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sidR="009B6784">
              <w:rPr>
                <w:rFonts w:ascii="Arial Narrow" w:hAnsi="Arial Narrow" w:cs="Arial"/>
                <w:sz w:val="18"/>
                <w:szCs w:val="18"/>
              </w:rPr>
              <w:t>disallowance</w:t>
            </w:r>
            <w:r w:rsidRPr="00AF7F13">
              <w:rPr>
                <w:rFonts w:ascii="Arial Narrow" w:hAnsi="Arial Narrow" w:cs="Arial"/>
                <w:sz w:val="18"/>
                <w:szCs w:val="18"/>
              </w:rPr>
              <w:t xml:space="preserve"> in its Decision No. 2016-016 dated August 16, 2016</w:t>
            </w:r>
            <w:r>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2013-004 (12)</w:t>
            </w:r>
          </w:p>
          <w:p w:rsidR="00584B8C" w:rsidRDefault="00584B8C" w:rsidP="004E2D8D"/>
        </w:tc>
        <w:tc>
          <w:tcPr>
            <w:tcW w:w="799" w:type="dxa"/>
          </w:tcPr>
          <w:p w:rsidR="00584B8C" w:rsidRDefault="00584B8C" w:rsidP="004E2D8D">
            <w:r w:rsidRPr="00AF7F13">
              <w:rPr>
                <w:rFonts w:ascii="Arial Narrow" w:hAnsi="Arial Narrow" w:cs="Arial"/>
                <w:sz w:val="18"/>
                <w:szCs w:val="18"/>
              </w:rPr>
              <w:t>10/08/13</w:t>
            </w:r>
          </w:p>
        </w:tc>
        <w:tc>
          <w:tcPr>
            <w:tcW w:w="1587" w:type="dxa"/>
            <w:vAlign w:val="center"/>
          </w:tcPr>
          <w:p w:rsidR="00584B8C"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Payments of Salaries, Representation Allowance, Gasoline Allowance, Lotto Draw Allowance, </w:t>
            </w:r>
            <w:r w:rsidRPr="00AF7F13">
              <w:rPr>
                <w:rFonts w:ascii="Arial Narrow" w:hAnsi="Arial Narrow" w:cs="Arial"/>
                <w:sz w:val="18"/>
                <w:szCs w:val="18"/>
              </w:rPr>
              <w:lastRenderedPageBreak/>
              <w:t>COLA and Amelioration, Rice Allowance, Hazard Pay, Staple Food and Medicine Allowance to the Board of Directors from January to March 2012.</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lastRenderedPageBreak/>
              <w:t xml:space="preserve">1,250,362.50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1,250,362.50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sidR="009B6784">
              <w:rPr>
                <w:rFonts w:ascii="Arial Narrow" w:hAnsi="Arial Narrow" w:cs="Arial"/>
                <w:sz w:val="18"/>
                <w:szCs w:val="18"/>
              </w:rPr>
              <w:t>disallowance</w:t>
            </w:r>
            <w:r w:rsidRPr="00AF7F13">
              <w:rPr>
                <w:rFonts w:ascii="Arial Narrow" w:hAnsi="Arial Narrow" w:cs="Arial"/>
                <w:sz w:val="18"/>
                <w:szCs w:val="18"/>
              </w:rPr>
              <w:t xml:space="preserve"> in its Decision No. 2016-016 dated August 16, 2016</w:t>
            </w:r>
            <w:r>
              <w:rPr>
                <w:rFonts w:ascii="Arial Narrow" w:hAnsi="Arial Narrow" w:cs="Arial"/>
                <w:sz w:val="18"/>
                <w:szCs w:val="18"/>
              </w:rPr>
              <w:t>.</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lastRenderedPageBreak/>
              <w:t>PCSO 2013-003 (12)</w:t>
            </w:r>
          </w:p>
          <w:p w:rsidR="00584B8C" w:rsidRDefault="00584B8C" w:rsidP="004E2D8D"/>
        </w:tc>
        <w:tc>
          <w:tcPr>
            <w:tcW w:w="799" w:type="dxa"/>
          </w:tcPr>
          <w:p w:rsidR="00584B8C" w:rsidRDefault="00584B8C" w:rsidP="004E2D8D">
            <w:r w:rsidRPr="00AF7F13">
              <w:rPr>
                <w:rFonts w:ascii="Arial Narrow" w:hAnsi="Arial Narrow" w:cs="Arial"/>
                <w:sz w:val="18"/>
                <w:szCs w:val="18"/>
              </w:rPr>
              <w:t>10/08/13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Payments of the per diem to the PCSO Board of Directors for the months of March and April 2012 and per diem differential covering the period from February 2011 to March 6, 2012.</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2,714,637.50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2,714,637.50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w:t>
            </w:r>
            <w:r w:rsidR="00256FDB">
              <w:rPr>
                <w:rFonts w:ascii="Arial Narrow" w:hAnsi="Arial Narrow" w:cs="Arial"/>
                <w:sz w:val="18"/>
                <w:szCs w:val="18"/>
              </w:rPr>
              <w:t>disallowance</w:t>
            </w:r>
            <w:r w:rsidRPr="00AF7F13">
              <w:rPr>
                <w:rFonts w:ascii="Arial Narrow" w:hAnsi="Arial Narrow" w:cs="Arial"/>
                <w:sz w:val="18"/>
                <w:szCs w:val="18"/>
              </w:rPr>
              <w:t xml:space="preserve"> in its Decision No. 2016-016 dated August 16, 2016.</w:t>
            </w: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2013-002 (12)</w:t>
            </w:r>
          </w:p>
          <w:p w:rsidR="00584B8C" w:rsidRDefault="00584B8C" w:rsidP="004E2D8D"/>
        </w:tc>
        <w:tc>
          <w:tcPr>
            <w:tcW w:w="799" w:type="dxa"/>
          </w:tcPr>
          <w:p w:rsidR="00584B8C" w:rsidRDefault="00584B8C" w:rsidP="004E2D8D">
            <w:r w:rsidRPr="00AF7F13">
              <w:rPr>
                <w:rFonts w:ascii="Arial Narrow" w:hAnsi="Arial Narrow" w:cs="Arial"/>
                <w:sz w:val="18"/>
                <w:szCs w:val="18"/>
              </w:rPr>
              <w:t>10/08/13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Weekly Draw Allowance in CY 2012 to PCSO Head Office's permanent employees and officers</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27,429,200.00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27,429,200.00 </w:t>
            </w:r>
          </w:p>
          <w:p w:rsidR="00584B8C" w:rsidRDefault="00584B8C" w:rsidP="000A6DB6">
            <w:pPr>
              <w:jc w:val="right"/>
            </w:pPr>
          </w:p>
        </w:tc>
        <w:tc>
          <w:tcPr>
            <w:tcW w:w="151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 xml:space="preserve">COA, CGS - Cluster 6 affirmed the </w:t>
            </w:r>
            <w:r w:rsidR="00256FDB">
              <w:rPr>
                <w:rFonts w:ascii="Arial Narrow" w:hAnsi="Arial Narrow" w:cs="Arial"/>
                <w:sz w:val="18"/>
                <w:szCs w:val="18"/>
              </w:rPr>
              <w:t>disallowance</w:t>
            </w:r>
            <w:r w:rsidRPr="00AF7F13">
              <w:rPr>
                <w:rFonts w:ascii="Arial Narrow" w:hAnsi="Arial Narrow" w:cs="Arial"/>
                <w:sz w:val="18"/>
                <w:szCs w:val="18"/>
              </w:rPr>
              <w:t xml:space="preserve"> in its Decision No. 2016-016 dated August 16, 2016.</w:t>
            </w:r>
          </w:p>
          <w:p w:rsidR="00584B8C" w:rsidRDefault="00584B8C" w:rsidP="000A6DB6">
            <w:pPr>
              <w:jc w:val="both"/>
            </w:pPr>
          </w:p>
        </w:tc>
      </w:tr>
      <w:tr w:rsidR="00D9600A" w:rsidTr="007D6478">
        <w:tc>
          <w:tcPr>
            <w:tcW w:w="880" w:type="dxa"/>
          </w:tcPr>
          <w:p w:rsidR="00584B8C" w:rsidRPr="00AF7F13" w:rsidRDefault="00584B8C" w:rsidP="004E2D8D">
            <w:pPr>
              <w:spacing w:before="20"/>
              <w:jc w:val="both"/>
              <w:rPr>
                <w:rFonts w:ascii="Arial Narrow" w:hAnsi="Arial Narrow" w:cs="Arial"/>
                <w:sz w:val="18"/>
                <w:szCs w:val="18"/>
              </w:rPr>
            </w:pPr>
            <w:r w:rsidRPr="00AF7F13">
              <w:rPr>
                <w:rFonts w:ascii="Arial Narrow" w:hAnsi="Arial Narrow" w:cs="Arial"/>
                <w:sz w:val="18"/>
                <w:szCs w:val="18"/>
              </w:rPr>
              <w:t>PCSO 2013-001 (12)</w:t>
            </w:r>
          </w:p>
          <w:p w:rsidR="00584B8C" w:rsidRDefault="00584B8C" w:rsidP="004E2D8D"/>
        </w:tc>
        <w:tc>
          <w:tcPr>
            <w:tcW w:w="799" w:type="dxa"/>
          </w:tcPr>
          <w:p w:rsidR="00584B8C" w:rsidRDefault="00584B8C" w:rsidP="004E2D8D">
            <w:r w:rsidRPr="00AF7F13">
              <w:rPr>
                <w:rFonts w:ascii="Arial Narrow" w:hAnsi="Arial Narrow" w:cs="Arial"/>
                <w:sz w:val="18"/>
                <w:szCs w:val="18"/>
              </w:rPr>
              <w:t>10/08/13</w:t>
            </w:r>
          </w:p>
        </w:tc>
        <w:tc>
          <w:tcPr>
            <w:tcW w:w="1587" w:type="dxa"/>
          </w:tcPr>
          <w:p w:rsidR="00584B8C" w:rsidRPr="00AF7F13" w:rsidRDefault="00584B8C" w:rsidP="000A6DB6">
            <w:pPr>
              <w:spacing w:before="20"/>
              <w:jc w:val="both"/>
              <w:rPr>
                <w:rFonts w:ascii="Arial Narrow" w:hAnsi="Arial Narrow" w:cs="Arial"/>
                <w:sz w:val="18"/>
                <w:szCs w:val="18"/>
              </w:rPr>
            </w:pPr>
            <w:r w:rsidRPr="00AF7F13">
              <w:rPr>
                <w:rFonts w:ascii="Arial Narrow" w:hAnsi="Arial Narrow" w:cs="Arial"/>
                <w:sz w:val="18"/>
                <w:szCs w:val="18"/>
              </w:rPr>
              <w:t>Payment of Cost of Living Allowance (COLA) in CY 2012 to PCSO Head Office's permanent employees, casual employees and officers</w:t>
            </w:r>
          </w:p>
          <w:p w:rsidR="00584B8C" w:rsidRDefault="00584B8C" w:rsidP="000A6DB6">
            <w:pPr>
              <w:jc w:val="both"/>
            </w:pPr>
          </w:p>
        </w:tc>
        <w:tc>
          <w:tcPr>
            <w:tcW w:w="1464"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24,420,827.14 </w:t>
            </w:r>
          </w:p>
          <w:p w:rsidR="00584B8C" w:rsidRDefault="00584B8C" w:rsidP="000A6DB6">
            <w:pPr>
              <w:jc w:val="right"/>
            </w:pPr>
          </w:p>
        </w:tc>
        <w:tc>
          <w:tcPr>
            <w:tcW w:w="1173" w:type="dxa"/>
          </w:tcPr>
          <w:p w:rsidR="00584B8C" w:rsidRPr="00AF7F13" w:rsidRDefault="00584B8C" w:rsidP="000A6DB6">
            <w:pPr>
              <w:spacing w:before="20"/>
              <w:ind w:left="-648" w:firstLine="648"/>
              <w:jc w:val="right"/>
              <w:rPr>
                <w:rFonts w:ascii="Arial Narrow" w:hAnsi="Arial Narrow" w:cs="Arial"/>
                <w:sz w:val="18"/>
                <w:szCs w:val="18"/>
              </w:rPr>
            </w:pPr>
            <w:r w:rsidRPr="00AF7F13">
              <w:rPr>
                <w:rFonts w:ascii="Arial Narrow" w:hAnsi="Arial Narrow" w:cs="Arial"/>
                <w:sz w:val="18"/>
                <w:szCs w:val="18"/>
              </w:rPr>
              <w:t>0.00</w:t>
            </w:r>
          </w:p>
          <w:p w:rsidR="00584B8C" w:rsidRDefault="00584B8C" w:rsidP="000A6DB6">
            <w:pPr>
              <w:jc w:val="right"/>
            </w:pPr>
          </w:p>
        </w:tc>
        <w:tc>
          <w:tcPr>
            <w:tcW w:w="1585" w:type="dxa"/>
          </w:tcPr>
          <w:p w:rsidR="00584B8C" w:rsidRPr="00AF7F13" w:rsidRDefault="00584B8C" w:rsidP="000A6DB6">
            <w:pPr>
              <w:spacing w:before="20"/>
              <w:jc w:val="right"/>
              <w:rPr>
                <w:rFonts w:ascii="Arial Narrow" w:hAnsi="Arial Narrow" w:cs="Arial"/>
                <w:sz w:val="18"/>
                <w:szCs w:val="18"/>
              </w:rPr>
            </w:pPr>
            <w:r w:rsidRPr="00AF7F13">
              <w:rPr>
                <w:rFonts w:ascii="Arial Narrow" w:hAnsi="Arial Narrow" w:cs="Arial"/>
                <w:sz w:val="18"/>
                <w:szCs w:val="18"/>
              </w:rPr>
              <w:t xml:space="preserve">24,420,827.14 </w:t>
            </w:r>
          </w:p>
          <w:p w:rsidR="00584B8C" w:rsidRDefault="00584B8C" w:rsidP="000A6DB6">
            <w:pPr>
              <w:jc w:val="right"/>
            </w:pPr>
          </w:p>
        </w:tc>
        <w:tc>
          <w:tcPr>
            <w:tcW w:w="1517" w:type="dxa"/>
          </w:tcPr>
          <w:p w:rsidR="00584B8C" w:rsidRDefault="00584B8C" w:rsidP="000A6DB6">
            <w:pPr>
              <w:jc w:val="both"/>
            </w:pPr>
            <w:r w:rsidRPr="00AF7F13">
              <w:rPr>
                <w:rFonts w:ascii="Arial Narrow" w:hAnsi="Arial Narrow" w:cs="Arial"/>
                <w:sz w:val="18"/>
                <w:szCs w:val="18"/>
              </w:rPr>
              <w:t xml:space="preserve">COA, CGS - Cluster 6 affirmed the </w:t>
            </w:r>
            <w:r w:rsidR="00256FDB">
              <w:rPr>
                <w:rFonts w:ascii="Arial Narrow" w:hAnsi="Arial Narrow" w:cs="Arial"/>
                <w:sz w:val="18"/>
                <w:szCs w:val="18"/>
              </w:rPr>
              <w:t>disallowance</w:t>
            </w:r>
            <w:r w:rsidRPr="00AF7F13">
              <w:rPr>
                <w:rFonts w:ascii="Arial Narrow" w:hAnsi="Arial Narrow" w:cs="Arial"/>
                <w:sz w:val="18"/>
                <w:szCs w:val="18"/>
              </w:rPr>
              <w:t xml:space="preserve"> in its Decision No. 2016-016 dated August 16, 2016. </w:t>
            </w:r>
          </w:p>
        </w:tc>
      </w:tr>
      <w:tr w:rsidR="00D9600A" w:rsidTr="007D6478">
        <w:tc>
          <w:tcPr>
            <w:tcW w:w="880" w:type="dxa"/>
          </w:tcPr>
          <w:p w:rsidR="00584B8C" w:rsidRDefault="00584B8C" w:rsidP="004E2D8D">
            <w:r w:rsidRPr="00AF7F13">
              <w:rPr>
                <w:rFonts w:ascii="Arial Narrow" w:hAnsi="Arial Narrow" w:cs="Arial"/>
                <w:b/>
                <w:sz w:val="18"/>
                <w:szCs w:val="18"/>
              </w:rPr>
              <w:t>Total</w:t>
            </w:r>
          </w:p>
        </w:tc>
        <w:tc>
          <w:tcPr>
            <w:tcW w:w="799" w:type="dxa"/>
          </w:tcPr>
          <w:p w:rsidR="00584B8C" w:rsidRDefault="00584B8C" w:rsidP="004E2D8D"/>
        </w:tc>
        <w:tc>
          <w:tcPr>
            <w:tcW w:w="1587" w:type="dxa"/>
          </w:tcPr>
          <w:p w:rsidR="00584B8C" w:rsidRDefault="00584B8C" w:rsidP="004E2D8D"/>
        </w:tc>
        <w:tc>
          <w:tcPr>
            <w:tcW w:w="1464" w:type="dxa"/>
          </w:tcPr>
          <w:p w:rsidR="00584B8C" w:rsidRDefault="00584B8C" w:rsidP="000A6DB6">
            <w:pPr>
              <w:jc w:val="right"/>
            </w:pPr>
            <w:r w:rsidRPr="00945166">
              <w:rPr>
                <w:rFonts w:ascii="Arial Narrow" w:hAnsi="Arial Narrow" w:cs="Arial"/>
                <w:b/>
                <w:sz w:val="18"/>
                <w:szCs w:val="18"/>
              </w:rPr>
              <w:t xml:space="preserve">P2,067,686,833.22 </w:t>
            </w:r>
          </w:p>
        </w:tc>
        <w:tc>
          <w:tcPr>
            <w:tcW w:w="1173" w:type="dxa"/>
          </w:tcPr>
          <w:p w:rsidR="00584B8C" w:rsidRDefault="00584B8C" w:rsidP="000A6DB6">
            <w:pPr>
              <w:jc w:val="right"/>
            </w:pPr>
            <w:r w:rsidRPr="00945166">
              <w:rPr>
                <w:rFonts w:ascii="Arial Narrow" w:hAnsi="Arial Narrow" w:cs="Arial"/>
                <w:b/>
                <w:sz w:val="18"/>
                <w:szCs w:val="18"/>
              </w:rPr>
              <w:t xml:space="preserve">P </w:t>
            </w:r>
            <w:r>
              <w:rPr>
                <w:rFonts w:ascii="Arial Narrow" w:hAnsi="Arial Narrow" w:cs="Arial"/>
                <w:b/>
                <w:sz w:val="18"/>
                <w:szCs w:val="18"/>
              </w:rPr>
              <w:t xml:space="preserve">     </w:t>
            </w:r>
            <w:r w:rsidR="00D9600A">
              <w:rPr>
                <w:rFonts w:ascii="Arial Narrow" w:hAnsi="Arial Narrow" w:cs="Arial"/>
                <w:b/>
                <w:sz w:val="18"/>
                <w:szCs w:val="18"/>
              </w:rPr>
              <w:t xml:space="preserve">    </w:t>
            </w:r>
            <w:r>
              <w:rPr>
                <w:rFonts w:ascii="Arial Narrow" w:hAnsi="Arial Narrow" w:cs="Arial"/>
                <w:b/>
                <w:sz w:val="18"/>
                <w:szCs w:val="18"/>
              </w:rPr>
              <w:t xml:space="preserve">   </w:t>
            </w:r>
            <w:r w:rsidRPr="00945166">
              <w:rPr>
                <w:rFonts w:ascii="Arial Narrow" w:hAnsi="Arial Narrow" w:cs="Arial"/>
                <w:b/>
                <w:sz w:val="18"/>
                <w:szCs w:val="18"/>
              </w:rPr>
              <w:t xml:space="preserve">0.00  </w:t>
            </w:r>
          </w:p>
        </w:tc>
        <w:tc>
          <w:tcPr>
            <w:tcW w:w="1585" w:type="dxa"/>
          </w:tcPr>
          <w:p w:rsidR="00584B8C" w:rsidRDefault="00584B8C" w:rsidP="000A6DB6">
            <w:pPr>
              <w:jc w:val="right"/>
            </w:pPr>
            <w:r w:rsidRPr="00945166">
              <w:rPr>
                <w:rFonts w:ascii="Arial Narrow" w:hAnsi="Arial Narrow" w:cs="Arial"/>
                <w:b/>
                <w:sz w:val="18"/>
                <w:szCs w:val="18"/>
              </w:rPr>
              <w:t>P</w:t>
            </w:r>
            <w:r w:rsidR="00D9600A">
              <w:rPr>
                <w:rFonts w:ascii="Arial Narrow" w:hAnsi="Arial Narrow" w:cs="Arial"/>
                <w:b/>
                <w:sz w:val="18"/>
                <w:szCs w:val="18"/>
              </w:rPr>
              <w:t xml:space="preserve">  </w:t>
            </w:r>
            <w:r w:rsidRPr="00945166">
              <w:rPr>
                <w:rFonts w:ascii="Arial Narrow" w:hAnsi="Arial Narrow" w:cs="Arial"/>
                <w:b/>
                <w:sz w:val="18"/>
                <w:szCs w:val="18"/>
              </w:rPr>
              <w:t xml:space="preserve">2,067,686,833.22 </w:t>
            </w:r>
          </w:p>
        </w:tc>
        <w:tc>
          <w:tcPr>
            <w:tcW w:w="1517" w:type="dxa"/>
          </w:tcPr>
          <w:p w:rsidR="00584B8C" w:rsidRDefault="00584B8C" w:rsidP="004E2D8D"/>
        </w:tc>
      </w:tr>
    </w:tbl>
    <w:p w:rsidR="00F23AFE" w:rsidRPr="007601AB" w:rsidRDefault="0044465B" w:rsidP="0044465B">
      <w:pPr>
        <w:spacing w:before="20" w:after="0" w:line="240" w:lineRule="auto"/>
        <w:jc w:val="both"/>
        <w:rPr>
          <w:rFonts w:ascii="Arial" w:eastAsia="Times New Roman" w:hAnsi="Arial" w:cs="Arial"/>
          <w:lang w:eastAsia="en-PH"/>
        </w:rPr>
      </w:pPr>
      <w:r>
        <w:rPr>
          <w:rFonts w:ascii="Arial" w:eastAsia="Times New Roman" w:hAnsi="Arial" w:cs="Arial"/>
          <w:lang w:eastAsia="en-PH"/>
        </w:rPr>
        <w:br w:type="textWrapping" w:clear="all"/>
      </w:r>
    </w:p>
    <w:p w:rsidR="00F23AFE" w:rsidRPr="007601AB" w:rsidRDefault="00F23AFE" w:rsidP="0044465B">
      <w:pPr>
        <w:spacing w:before="20" w:after="0" w:line="240" w:lineRule="auto"/>
        <w:rPr>
          <w:rFonts w:ascii="Calibri" w:eastAsia="Times New Roman" w:hAnsi="Calibri" w:cs="Times New Roman"/>
          <w:lang w:eastAsia="en-PH"/>
        </w:rPr>
      </w:pPr>
    </w:p>
    <w:bookmarkEnd w:id="1"/>
    <w:p w:rsidR="00F23AFE" w:rsidRPr="007601AB" w:rsidRDefault="00F23AFE" w:rsidP="0044465B">
      <w:pPr>
        <w:spacing w:after="0" w:line="240" w:lineRule="auto"/>
      </w:pPr>
    </w:p>
    <w:sectPr w:rsidR="00F23AFE" w:rsidRPr="007601AB" w:rsidSect="00A9002D">
      <w:headerReference w:type="default" r:id="rId7"/>
      <w:footerReference w:type="default" r:id="rId8"/>
      <w:pgSz w:w="12240" w:h="15840" w:code="1"/>
      <w:pgMar w:top="1440" w:right="1440" w:bottom="1440" w:left="1440" w:header="720" w:footer="720" w:gutter="720"/>
      <w:pgNumType w:start="16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C23" w:rsidRDefault="00D60C23">
      <w:pPr>
        <w:spacing w:after="0" w:line="240" w:lineRule="auto"/>
      </w:pPr>
      <w:r>
        <w:separator/>
      </w:r>
    </w:p>
  </w:endnote>
  <w:endnote w:type="continuationSeparator" w:id="0">
    <w:p w:rsidR="00D60C23" w:rsidRDefault="00D60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878739"/>
      <w:docPartObj>
        <w:docPartGallery w:val="Page Numbers (Bottom of Page)"/>
        <w:docPartUnique/>
      </w:docPartObj>
    </w:sdtPr>
    <w:sdtEndPr>
      <w:rPr>
        <w:rFonts w:ascii="Arial" w:hAnsi="Arial" w:cs="Arial"/>
        <w:noProof/>
        <w:sz w:val="20"/>
        <w:szCs w:val="20"/>
      </w:rPr>
    </w:sdtEndPr>
    <w:sdtContent>
      <w:p w:rsidR="009C0EB4" w:rsidRDefault="00EB7196">
        <w:pPr>
          <w:pStyle w:val="Footer"/>
          <w:jc w:val="right"/>
          <w:rPr>
            <w:rFonts w:ascii="Arial" w:hAnsi="Arial" w:cs="Arial"/>
            <w:sz w:val="20"/>
            <w:szCs w:val="20"/>
          </w:rPr>
        </w:pPr>
        <w:r>
          <w:rPr>
            <w:rFonts w:ascii="Arial" w:hAnsi="Arial" w:cs="Arial"/>
            <w:sz w:val="20"/>
            <w:szCs w:val="20"/>
          </w:rPr>
          <w:fldChar w:fldCharType="begin"/>
        </w:r>
        <w:r w:rsidR="009C0EB4">
          <w:rPr>
            <w:rFonts w:ascii="Arial" w:hAnsi="Arial" w:cs="Arial"/>
            <w:sz w:val="20"/>
            <w:szCs w:val="20"/>
          </w:rPr>
          <w:instrText xml:space="preserve"> PAGE   \* MERGEFORMAT </w:instrText>
        </w:r>
        <w:r>
          <w:rPr>
            <w:rFonts w:ascii="Arial" w:hAnsi="Arial" w:cs="Arial"/>
            <w:sz w:val="20"/>
            <w:szCs w:val="20"/>
          </w:rPr>
          <w:fldChar w:fldCharType="separate"/>
        </w:r>
        <w:r w:rsidR="00F33FD7">
          <w:rPr>
            <w:rFonts w:ascii="Arial" w:hAnsi="Arial" w:cs="Arial"/>
            <w:noProof/>
            <w:sz w:val="20"/>
            <w:szCs w:val="20"/>
          </w:rPr>
          <w:t>166</w:t>
        </w:r>
        <w:r>
          <w:rPr>
            <w:rFonts w:ascii="Arial" w:hAnsi="Arial" w:cs="Arial"/>
            <w:noProof/>
            <w:sz w:val="20"/>
            <w:szCs w:val="20"/>
          </w:rPr>
          <w:fldChar w:fldCharType="end"/>
        </w:r>
      </w:p>
    </w:sdtContent>
  </w:sdt>
  <w:p w:rsidR="009C0EB4" w:rsidRDefault="009C0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C23" w:rsidRDefault="00D60C23">
      <w:pPr>
        <w:spacing w:after="0" w:line="240" w:lineRule="auto"/>
      </w:pPr>
      <w:r>
        <w:separator/>
      </w:r>
    </w:p>
  </w:footnote>
  <w:footnote w:type="continuationSeparator" w:id="0">
    <w:p w:rsidR="00D60C23" w:rsidRDefault="00D60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B4" w:rsidRDefault="009C0EB4" w:rsidP="004A1761">
    <w:pPr>
      <w:pStyle w:val="Header"/>
      <w:ind w:right="-360"/>
      <w:jc w:val="right"/>
      <w:rPr>
        <w:rFonts w:ascii="Arial" w:hAnsi="Arial" w:cs="Arial"/>
        <w:sz w:val="20"/>
        <w:szCs w:val="20"/>
      </w:rPr>
    </w:pPr>
    <w:r>
      <w:rPr>
        <w:rFonts w:ascii="Arial" w:hAnsi="Arial" w:cs="Arial"/>
        <w:sz w:val="20"/>
        <w:szCs w:val="20"/>
      </w:rPr>
      <w:t>Annex A</w:t>
    </w:r>
  </w:p>
  <w:p w:rsidR="007D6478" w:rsidRDefault="00A9002D" w:rsidP="004A1761">
    <w:pPr>
      <w:pStyle w:val="Header"/>
      <w:ind w:right="-360"/>
      <w:jc w:val="right"/>
      <w:rPr>
        <w:rFonts w:ascii="Arial" w:hAnsi="Arial" w:cs="Arial"/>
        <w:sz w:val="20"/>
        <w:szCs w:val="20"/>
      </w:rPr>
    </w:pPr>
    <w:r>
      <w:rPr>
        <w:rFonts w:ascii="Arial" w:hAnsi="Arial" w:cs="Arial"/>
        <w:sz w:val="20"/>
        <w:szCs w:val="20"/>
      </w:rPr>
      <w:t>AAR Page No. 137</w:t>
    </w:r>
  </w:p>
  <w:p w:rsidR="009C0EB4" w:rsidRDefault="009C0EB4" w:rsidP="004A1761">
    <w:pPr>
      <w:pStyle w:val="Header"/>
      <w:ind w:right="-360"/>
      <w:jc w:val="right"/>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547F5"/>
    <w:multiLevelType w:val="hybridMultilevel"/>
    <w:tmpl w:val="4E10406A"/>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uIybxDE+6ZmtxrNC0rlZdAj1QlMGxdLhd3tH8sPxKeGk8B/vdsw3xcneP9Lf3A6iC+kWqwG2ezjd4kZUSnzIPQ==" w:salt="1aqHO8K1xFJP6rTLO0V5+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23AFE"/>
    <w:rsid w:val="000114F7"/>
    <w:rsid w:val="00015EE1"/>
    <w:rsid w:val="00027EEB"/>
    <w:rsid w:val="00032B69"/>
    <w:rsid w:val="0003513E"/>
    <w:rsid w:val="00043687"/>
    <w:rsid w:val="00053E5E"/>
    <w:rsid w:val="000549A7"/>
    <w:rsid w:val="00096306"/>
    <w:rsid w:val="0009715B"/>
    <w:rsid w:val="000A6DB6"/>
    <w:rsid w:val="000E2B07"/>
    <w:rsid w:val="0011675F"/>
    <w:rsid w:val="001410E4"/>
    <w:rsid w:val="001533FB"/>
    <w:rsid w:val="00153540"/>
    <w:rsid w:val="00154CAB"/>
    <w:rsid w:val="0016022E"/>
    <w:rsid w:val="00172299"/>
    <w:rsid w:val="00196A82"/>
    <w:rsid w:val="001C7FE8"/>
    <w:rsid w:val="001F1E15"/>
    <w:rsid w:val="001F75B4"/>
    <w:rsid w:val="00204A19"/>
    <w:rsid w:val="00211441"/>
    <w:rsid w:val="00243F0B"/>
    <w:rsid w:val="00245122"/>
    <w:rsid w:val="002478FB"/>
    <w:rsid w:val="00256FDB"/>
    <w:rsid w:val="00260C69"/>
    <w:rsid w:val="00265B00"/>
    <w:rsid w:val="00284C4E"/>
    <w:rsid w:val="00285822"/>
    <w:rsid w:val="002A70CC"/>
    <w:rsid w:val="002E6E53"/>
    <w:rsid w:val="002F2868"/>
    <w:rsid w:val="002F357C"/>
    <w:rsid w:val="00316576"/>
    <w:rsid w:val="00317CCD"/>
    <w:rsid w:val="00334E45"/>
    <w:rsid w:val="00340FB4"/>
    <w:rsid w:val="00345318"/>
    <w:rsid w:val="00381C5F"/>
    <w:rsid w:val="003917B3"/>
    <w:rsid w:val="00391EBB"/>
    <w:rsid w:val="003C5908"/>
    <w:rsid w:val="003D2CBE"/>
    <w:rsid w:val="004230EB"/>
    <w:rsid w:val="0044465B"/>
    <w:rsid w:val="004558A2"/>
    <w:rsid w:val="00460F36"/>
    <w:rsid w:val="004631E8"/>
    <w:rsid w:val="00463585"/>
    <w:rsid w:val="00473762"/>
    <w:rsid w:val="004A1761"/>
    <w:rsid w:val="005137BB"/>
    <w:rsid w:val="0051508A"/>
    <w:rsid w:val="00541F97"/>
    <w:rsid w:val="00547742"/>
    <w:rsid w:val="00580D84"/>
    <w:rsid w:val="00583240"/>
    <w:rsid w:val="00584B8C"/>
    <w:rsid w:val="005A41DD"/>
    <w:rsid w:val="005F08C7"/>
    <w:rsid w:val="00663572"/>
    <w:rsid w:val="006955DB"/>
    <w:rsid w:val="00696C56"/>
    <w:rsid w:val="007024AF"/>
    <w:rsid w:val="00707CC4"/>
    <w:rsid w:val="007175D2"/>
    <w:rsid w:val="00720964"/>
    <w:rsid w:val="007209AF"/>
    <w:rsid w:val="0072409D"/>
    <w:rsid w:val="007317BD"/>
    <w:rsid w:val="007601AB"/>
    <w:rsid w:val="007920F7"/>
    <w:rsid w:val="007B278F"/>
    <w:rsid w:val="007D6478"/>
    <w:rsid w:val="00800BBD"/>
    <w:rsid w:val="00817437"/>
    <w:rsid w:val="0082157D"/>
    <w:rsid w:val="008512B3"/>
    <w:rsid w:val="008566C9"/>
    <w:rsid w:val="008577F7"/>
    <w:rsid w:val="008B7DA6"/>
    <w:rsid w:val="008D54FD"/>
    <w:rsid w:val="008E3E71"/>
    <w:rsid w:val="008E6D61"/>
    <w:rsid w:val="00911ACC"/>
    <w:rsid w:val="00921EF4"/>
    <w:rsid w:val="00922606"/>
    <w:rsid w:val="009361FF"/>
    <w:rsid w:val="00940F88"/>
    <w:rsid w:val="00945166"/>
    <w:rsid w:val="009836D8"/>
    <w:rsid w:val="009B1870"/>
    <w:rsid w:val="009B6784"/>
    <w:rsid w:val="009C0EB4"/>
    <w:rsid w:val="009E0E5C"/>
    <w:rsid w:val="009E4417"/>
    <w:rsid w:val="00A12490"/>
    <w:rsid w:val="00A24F97"/>
    <w:rsid w:val="00A32D46"/>
    <w:rsid w:val="00A83714"/>
    <w:rsid w:val="00A9002D"/>
    <w:rsid w:val="00AA135F"/>
    <w:rsid w:val="00AF7F13"/>
    <w:rsid w:val="00B02D10"/>
    <w:rsid w:val="00B21B7B"/>
    <w:rsid w:val="00B25C95"/>
    <w:rsid w:val="00B316D6"/>
    <w:rsid w:val="00B4181B"/>
    <w:rsid w:val="00B47137"/>
    <w:rsid w:val="00B564C1"/>
    <w:rsid w:val="00B83557"/>
    <w:rsid w:val="00BB73BB"/>
    <w:rsid w:val="00BC794F"/>
    <w:rsid w:val="00BE71C4"/>
    <w:rsid w:val="00C30D54"/>
    <w:rsid w:val="00C33679"/>
    <w:rsid w:val="00C44529"/>
    <w:rsid w:val="00C47FB9"/>
    <w:rsid w:val="00C50B03"/>
    <w:rsid w:val="00C75517"/>
    <w:rsid w:val="00C76D1A"/>
    <w:rsid w:val="00C97824"/>
    <w:rsid w:val="00CA32C2"/>
    <w:rsid w:val="00CA32D3"/>
    <w:rsid w:val="00CB3984"/>
    <w:rsid w:val="00CD24AD"/>
    <w:rsid w:val="00CF3730"/>
    <w:rsid w:val="00D071D1"/>
    <w:rsid w:val="00D07A37"/>
    <w:rsid w:val="00D14283"/>
    <w:rsid w:val="00D60C23"/>
    <w:rsid w:val="00D630E4"/>
    <w:rsid w:val="00D7464D"/>
    <w:rsid w:val="00D877A6"/>
    <w:rsid w:val="00D9600A"/>
    <w:rsid w:val="00DA5BF0"/>
    <w:rsid w:val="00DD7A2D"/>
    <w:rsid w:val="00DE6DBC"/>
    <w:rsid w:val="00E31C85"/>
    <w:rsid w:val="00E42DEF"/>
    <w:rsid w:val="00EB6260"/>
    <w:rsid w:val="00EB7196"/>
    <w:rsid w:val="00EC7432"/>
    <w:rsid w:val="00ED3121"/>
    <w:rsid w:val="00F16BB2"/>
    <w:rsid w:val="00F23AFE"/>
    <w:rsid w:val="00F33963"/>
    <w:rsid w:val="00F33FD7"/>
    <w:rsid w:val="00F445B6"/>
    <w:rsid w:val="00F457E9"/>
    <w:rsid w:val="00F77FD5"/>
    <w:rsid w:val="00F848BB"/>
    <w:rsid w:val="00F85FE1"/>
    <w:rsid w:val="00F91B5C"/>
    <w:rsid w:val="00F92ABA"/>
    <w:rsid w:val="00FA18F2"/>
    <w:rsid w:val="00FC6D41"/>
    <w:rsid w:val="00FE7785"/>
    <w:rsid w:val="00FF13A7"/>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8B37848-8C0B-497D-9F1A-0B553BA9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6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22606"/>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22606"/>
    <w:pPr>
      <w:tabs>
        <w:tab w:val="center" w:pos="4680"/>
        <w:tab w:val="right" w:pos="9360"/>
      </w:tabs>
      <w:spacing w:after="0" w:line="240" w:lineRule="auto"/>
    </w:pPr>
    <w:rPr>
      <w:rFonts w:ascii="Calibri" w:eastAsia="Times New Roman" w:hAnsi="Calibri" w:cs="Times New Roman"/>
      <w:lang w:eastAsia="en-PH"/>
    </w:rPr>
  </w:style>
  <w:style w:type="character" w:customStyle="1" w:styleId="HeaderChar">
    <w:name w:val="Header Char"/>
    <w:basedOn w:val="DefaultParagraphFont"/>
    <w:link w:val="Header"/>
    <w:uiPriority w:val="99"/>
    <w:rsid w:val="00922606"/>
    <w:rPr>
      <w:rFonts w:ascii="Calibri" w:eastAsia="Times New Roman" w:hAnsi="Calibri" w:cs="Times New Roman"/>
      <w:lang w:eastAsia="en-PH"/>
    </w:rPr>
  </w:style>
  <w:style w:type="paragraph" w:styleId="Footer">
    <w:name w:val="footer"/>
    <w:basedOn w:val="Normal"/>
    <w:link w:val="FooterChar"/>
    <w:uiPriority w:val="99"/>
    <w:unhideWhenUsed/>
    <w:rsid w:val="00922606"/>
    <w:pPr>
      <w:tabs>
        <w:tab w:val="center" w:pos="4680"/>
        <w:tab w:val="right" w:pos="9360"/>
      </w:tabs>
      <w:spacing w:after="0" w:line="240" w:lineRule="auto"/>
    </w:pPr>
    <w:rPr>
      <w:rFonts w:ascii="Calibri" w:eastAsia="Times New Roman" w:hAnsi="Calibri" w:cs="Times New Roman"/>
      <w:lang w:eastAsia="en-PH"/>
    </w:rPr>
  </w:style>
  <w:style w:type="character" w:customStyle="1" w:styleId="FooterChar">
    <w:name w:val="Footer Char"/>
    <w:basedOn w:val="DefaultParagraphFont"/>
    <w:link w:val="Footer"/>
    <w:uiPriority w:val="99"/>
    <w:rsid w:val="00922606"/>
    <w:rPr>
      <w:rFonts w:ascii="Calibri" w:eastAsia="Times New Roman" w:hAnsi="Calibri" w:cs="Times New Roman"/>
      <w:lang w:eastAsia="en-PH"/>
    </w:rPr>
  </w:style>
  <w:style w:type="paragraph" w:styleId="BalloonText">
    <w:name w:val="Balloon Text"/>
    <w:basedOn w:val="Normal"/>
    <w:link w:val="BalloonTextChar"/>
    <w:uiPriority w:val="99"/>
    <w:semiHidden/>
    <w:unhideWhenUsed/>
    <w:rsid w:val="00922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40847">
      <w:bodyDiv w:val="1"/>
      <w:marLeft w:val="0"/>
      <w:marRight w:val="0"/>
      <w:marTop w:val="0"/>
      <w:marBottom w:val="0"/>
      <w:divBdr>
        <w:top w:val="none" w:sz="0" w:space="0" w:color="auto"/>
        <w:left w:val="none" w:sz="0" w:space="0" w:color="auto"/>
        <w:bottom w:val="none" w:sz="0" w:space="0" w:color="auto"/>
        <w:right w:val="none" w:sz="0" w:space="0" w:color="auto"/>
      </w:divBdr>
    </w:div>
    <w:div w:id="41444563">
      <w:bodyDiv w:val="1"/>
      <w:marLeft w:val="0"/>
      <w:marRight w:val="0"/>
      <w:marTop w:val="0"/>
      <w:marBottom w:val="0"/>
      <w:divBdr>
        <w:top w:val="none" w:sz="0" w:space="0" w:color="auto"/>
        <w:left w:val="none" w:sz="0" w:space="0" w:color="auto"/>
        <w:bottom w:val="none" w:sz="0" w:space="0" w:color="auto"/>
        <w:right w:val="none" w:sz="0" w:space="0" w:color="auto"/>
      </w:divBdr>
    </w:div>
    <w:div w:id="54358228">
      <w:bodyDiv w:val="1"/>
      <w:marLeft w:val="0"/>
      <w:marRight w:val="0"/>
      <w:marTop w:val="0"/>
      <w:marBottom w:val="0"/>
      <w:divBdr>
        <w:top w:val="none" w:sz="0" w:space="0" w:color="auto"/>
        <w:left w:val="none" w:sz="0" w:space="0" w:color="auto"/>
        <w:bottom w:val="none" w:sz="0" w:space="0" w:color="auto"/>
        <w:right w:val="none" w:sz="0" w:space="0" w:color="auto"/>
      </w:divBdr>
    </w:div>
    <w:div w:id="60980742">
      <w:bodyDiv w:val="1"/>
      <w:marLeft w:val="0"/>
      <w:marRight w:val="0"/>
      <w:marTop w:val="0"/>
      <w:marBottom w:val="0"/>
      <w:divBdr>
        <w:top w:val="none" w:sz="0" w:space="0" w:color="auto"/>
        <w:left w:val="none" w:sz="0" w:space="0" w:color="auto"/>
        <w:bottom w:val="none" w:sz="0" w:space="0" w:color="auto"/>
        <w:right w:val="none" w:sz="0" w:space="0" w:color="auto"/>
      </w:divBdr>
    </w:div>
    <w:div w:id="95096702">
      <w:bodyDiv w:val="1"/>
      <w:marLeft w:val="0"/>
      <w:marRight w:val="0"/>
      <w:marTop w:val="0"/>
      <w:marBottom w:val="0"/>
      <w:divBdr>
        <w:top w:val="none" w:sz="0" w:space="0" w:color="auto"/>
        <w:left w:val="none" w:sz="0" w:space="0" w:color="auto"/>
        <w:bottom w:val="none" w:sz="0" w:space="0" w:color="auto"/>
        <w:right w:val="none" w:sz="0" w:space="0" w:color="auto"/>
      </w:divBdr>
    </w:div>
    <w:div w:id="101994424">
      <w:bodyDiv w:val="1"/>
      <w:marLeft w:val="0"/>
      <w:marRight w:val="0"/>
      <w:marTop w:val="0"/>
      <w:marBottom w:val="0"/>
      <w:divBdr>
        <w:top w:val="none" w:sz="0" w:space="0" w:color="auto"/>
        <w:left w:val="none" w:sz="0" w:space="0" w:color="auto"/>
        <w:bottom w:val="none" w:sz="0" w:space="0" w:color="auto"/>
        <w:right w:val="none" w:sz="0" w:space="0" w:color="auto"/>
      </w:divBdr>
    </w:div>
    <w:div w:id="119568754">
      <w:bodyDiv w:val="1"/>
      <w:marLeft w:val="0"/>
      <w:marRight w:val="0"/>
      <w:marTop w:val="0"/>
      <w:marBottom w:val="0"/>
      <w:divBdr>
        <w:top w:val="none" w:sz="0" w:space="0" w:color="auto"/>
        <w:left w:val="none" w:sz="0" w:space="0" w:color="auto"/>
        <w:bottom w:val="none" w:sz="0" w:space="0" w:color="auto"/>
        <w:right w:val="none" w:sz="0" w:space="0" w:color="auto"/>
      </w:divBdr>
    </w:div>
    <w:div w:id="137304399">
      <w:bodyDiv w:val="1"/>
      <w:marLeft w:val="0"/>
      <w:marRight w:val="0"/>
      <w:marTop w:val="0"/>
      <w:marBottom w:val="0"/>
      <w:divBdr>
        <w:top w:val="none" w:sz="0" w:space="0" w:color="auto"/>
        <w:left w:val="none" w:sz="0" w:space="0" w:color="auto"/>
        <w:bottom w:val="none" w:sz="0" w:space="0" w:color="auto"/>
        <w:right w:val="none" w:sz="0" w:space="0" w:color="auto"/>
      </w:divBdr>
    </w:div>
    <w:div w:id="159784354">
      <w:bodyDiv w:val="1"/>
      <w:marLeft w:val="0"/>
      <w:marRight w:val="0"/>
      <w:marTop w:val="0"/>
      <w:marBottom w:val="0"/>
      <w:divBdr>
        <w:top w:val="none" w:sz="0" w:space="0" w:color="auto"/>
        <w:left w:val="none" w:sz="0" w:space="0" w:color="auto"/>
        <w:bottom w:val="none" w:sz="0" w:space="0" w:color="auto"/>
        <w:right w:val="none" w:sz="0" w:space="0" w:color="auto"/>
      </w:divBdr>
    </w:div>
    <w:div w:id="161358921">
      <w:bodyDiv w:val="1"/>
      <w:marLeft w:val="0"/>
      <w:marRight w:val="0"/>
      <w:marTop w:val="0"/>
      <w:marBottom w:val="0"/>
      <w:divBdr>
        <w:top w:val="none" w:sz="0" w:space="0" w:color="auto"/>
        <w:left w:val="none" w:sz="0" w:space="0" w:color="auto"/>
        <w:bottom w:val="none" w:sz="0" w:space="0" w:color="auto"/>
        <w:right w:val="none" w:sz="0" w:space="0" w:color="auto"/>
      </w:divBdr>
    </w:div>
    <w:div w:id="195627828">
      <w:bodyDiv w:val="1"/>
      <w:marLeft w:val="0"/>
      <w:marRight w:val="0"/>
      <w:marTop w:val="0"/>
      <w:marBottom w:val="0"/>
      <w:divBdr>
        <w:top w:val="none" w:sz="0" w:space="0" w:color="auto"/>
        <w:left w:val="none" w:sz="0" w:space="0" w:color="auto"/>
        <w:bottom w:val="none" w:sz="0" w:space="0" w:color="auto"/>
        <w:right w:val="none" w:sz="0" w:space="0" w:color="auto"/>
      </w:divBdr>
    </w:div>
    <w:div w:id="214237529">
      <w:bodyDiv w:val="1"/>
      <w:marLeft w:val="0"/>
      <w:marRight w:val="0"/>
      <w:marTop w:val="0"/>
      <w:marBottom w:val="0"/>
      <w:divBdr>
        <w:top w:val="none" w:sz="0" w:space="0" w:color="auto"/>
        <w:left w:val="none" w:sz="0" w:space="0" w:color="auto"/>
        <w:bottom w:val="none" w:sz="0" w:space="0" w:color="auto"/>
        <w:right w:val="none" w:sz="0" w:space="0" w:color="auto"/>
      </w:divBdr>
    </w:div>
    <w:div w:id="218637983">
      <w:bodyDiv w:val="1"/>
      <w:marLeft w:val="0"/>
      <w:marRight w:val="0"/>
      <w:marTop w:val="0"/>
      <w:marBottom w:val="0"/>
      <w:divBdr>
        <w:top w:val="none" w:sz="0" w:space="0" w:color="auto"/>
        <w:left w:val="none" w:sz="0" w:space="0" w:color="auto"/>
        <w:bottom w:val="none" w:sz="0" w:space="0" w:color="auto"/>
        <w:right w:val="none" w:sz="0" w:space="0" w:color="auto"/>
      </w:divBdr>
    </w:div>
    <w:div w:id="227763199">
      <w:bodyDiv w:val="1"/>
      <w:marLeft w:val="0"/>
      <w:marRight w:val="0"/>
      <w:marTop w:val="0"/>
      <w:marBottom w:val="0"/>
      <w:divBdr>
        <w:top w:val="none" w:sz="0" w:space="0" w:color="auto"/>
        <w:left w:val="none" w:sz="0" w:space="0" w:color="auto"/>
        <w:bottom w:val="none" w:sz="0" w:space="0" w:color="auto"/>
        <w:right w:val="none" w:sz="0" w:space="0" w:color="auto"/>
      </w:divBdr>
    </w:div>
    <w:div w:id="235673848">
      <w:bodyDiv w:val="1"/>
      <w:marLeft w:val="0"/>
      <w:marRight w:val="0"/>
      <w:marTop w:val="0"/>
      <w:marBottom w:val="0"/>
      <w:divBdr>
        <w:top w:val="none" w:sz="0" w:space="0" w:color="auto"/>
        <w:left w:val="none" w:sz="0" w:space="0" w:color="auto"/>
        <w:bottom w:val="none" w:sz="0" w:space="0" w:color="auto"/>
        <w:right w:val="none" w:sz="0" w:space="0" w:color="auto"/>
      </w:divBdr>
    </w:div>
    <w:div w:id="236481147">
      <w:bodyDiv w:val="1"/>
      <w:marLeft w:val="0"/>
      <w:marRight w:val="0"/>
      <w:marTop w:val="0"/>
      <w:marBottom w:val="0"/>
      <w:divBdr>
        <w:top w:val="none" w:sz="0" w:space="0" w:color="auto"/>
        <w:left w:val="none" w:sz="0" w:space="0" w:color="auto"/>
        <w:bottom w:val="none" w:sz="0" w:space="0" w:color="auto"/>
        <w:right w:val="none" w:sz="0" w:space="0" w:color="auto"/>
      </w:divBdr>
    </w:div>
    <w:div w:id="259217496">
      <w:bodyDiv w:val="1"/>
      <w:marLeft w:val="0"/>
      <w:marRight w:val="0"/>
      <w:marTop w:val="0"/>
      <w:marBottom w:val="0"/>
      <w:divBdr>
        <w:top w:val="none" w:sz="0" w:space="0" w:color="auto"/>
        <w:left w:val="none" w:sz="0" w:space="0" w:color="auto"/>
        <w:bottom w:val="none" w:sz="0" w:space="0" w:color="auto"/>
        <w:right w:val="none" w:sz="0" w:space="0" w:color="auto"/>
      </w:divBdr>
    </w:div>
    <w:div w:id="273488571">
      <w:bodyDiv w:val="1"/>
      <w:marLeft w:val="0"/>
      <w:marRight w:val="0"/>
      <w:marTop w:val="0"/>
      <w:marBottom w:val="0"/>
      <w:divBdr>
        <w:top w:val="none" w:sz="0" w:space="0" w:color="auto"/>
        <w:left w:val="none" w:sz="0" w:space="0" w:color="auto"/>
        <w:bottom w:val="none" w:sz="0" w:space="0" w:color="auto"/>
        <w:right w:val="none" w:sz="0" w:space="0" w:color="auto"/>
      </w:divBdr>
    </w:div>
    <w:div w:id="275068061">
      <w:bodyDiv w:val="1"/>
      <w:marLeft w:val="0"/>
      <w:marRight w:val="0"/>
      <w:marTop w:val="0"/>
      <w:marBottom w:val="0"/>
      <w:divBdr>
        <w:top w:val="none" w:sz="0" w:space="0" w:color="auto"/>
        <w:left w:val="none" w:sz="0" w:space="0" w:color="auto"/>
        <w:bottom w:val="none" w:sz="0" w:space="0" w:color="auto"/>
        <w:right w:val="none" w:sz="0" w:space="0" w:color="auto"/>
      </w:divBdr>
    </w:div>
    <w:div w:id="284772874">
      <w:bodyDiv w:val="1"/>
      <w:marLeft w:val="0"/>
      <w:marRight w:val="0"/>
      <w:marTop w:val="0"/>
      <w:marBottom w:val="0"/>
      <w:divBdr>
        <w:top w:val="none" w:sz="0" w:space="0" w:color="auto"/>
        <w:left w:val="none" w:sz="0" w:space="0" w:color="auto"/>
        <w:bottom w:val="none" w:sz="0" w:space="0" w:color="auto"/>
        <w:right w:val="none" w:sz="0" w:space="0" w:color="auto"/>
      </w:divBdr>
    </w:div>
    <w:div w:id="286469396">
      <w:bodyDiv w:val="1"/>
      <w:marLeft w:val="0"/>
      <w:marRight w:val="0"/>
      <w:marTop w:val="0"/>
      <w:marBottom w:val="0"/>
      <w:divBdr>
        <w:top w:val="none" w:sz="0" w:space="0" w:color="auto"/>
        <w:left w:val="none" w:sz="0" w:space="0" w:color="auto"/>
        <w:bottom w:val="none" w:sz="0" w:space="0" w:color="auto"/>
        <w:right w:val="none" w:sz="0" w:space="0" w:color="auto"/>
      </w:divBdr>
    </w:div>
    <w:div w:id="310520493">
      <w:bodyDiv w:val="1"/>
      <w:marLeft w:val="0"/>
      <w:marRight w:val="0"/>
      <w:marTop w:val="0"/>
      <w:marBottom w:val="0"/>
      <w:divBdr>
        <w:top w:val="none" w:sz="0" w:space="0" w:color="auto"/>
        <w:left w:val="none" w:sz="0" w:space="0" w:color="auto"/>
        <w:bottom w:val="none" w:sz="0" w:space="0" w:color="auto"/>
        <w:right w:val="none" w:sz="0" w:space="0" w:color="auto"/>
      </w:divBdr>
    </w:div>
    <w:div w:id="317265573">
      <w:bodyDiv w:val="1"/>
      <w:marLeft w:val="0"/>
      <w:marRight w:val="0"/>
      <w:marTop w:val="0"/>
      <w:marBottom w:val="0"/>
      <w:divBdr>
        <w:top w:val="none" w:sz="0" w:space="0" w:color="auto"/>
        <w:left w:val="none" w:sz="0" w:space="0" w:color="auto"/>
        <w:bottom w:val="none" w:sz="0" w:space="0" w:color="auto"/>
        <w:right w:val="none" w:sz="0" w:space="0" w:color="auto"/>
      </w:divBdr>
    </w:div>
    <w:div w:id="324668802">
      <w:bodyDiv w:val="1"/>
      <w:marLeft w:val="0"/>
      <w:marRight w:val="0"/>
      <w:marTop w:val="0"/>
      <w:marBottom w:val="0"/>
      <w:divBdr>
        <w:top w:val="none" w:sz="0" w:space="0" w:color="auto"/>
        <w:left w:val="none" w:sz="0" w:space="0" w:color="auto"/>
        <w:bottom w:val="none" w:sz="0" w:space="0" w:color="auto"/>
        <w:right w:val="none" w:sz="0" w:space="0" w:color="auto"/>
      </w:divBdr>
    </w:div>
    <w:div w:id="329219175">
      <w:bodyDiv w:val="1"/>
      <w:marLeft w:val="0"/>
      <w:marRight w:val="0"/>
      <w:marTop w:val="0"/>
      <w:marBottom w:val="0"/>
      <w:divBdr>
        <w:top w:val="none" w:sz="0" w:space="0" w:color="auto"/>
        <w:left w:val="none" w:sz="0" w:space="0" w:color="auto"/>
        <w:bottom w:val="none" w:sz="0" w:space="0" w:color="auto"/>
        <w:right w:val="none" w:sz="0" w:space="0" w:color="auto"/>
      </w:divBdr>
    </w:div>
    <w:div w:id="352345048">
      <w:bodyDiv w:val="1"/>
      <w:marLeft w:val="0"/>
      <w:marRight w:val="0"/>
      <w:marTop w:val="0"/>
      <w:marBottom w:val="0"/>
      <w:divBdr>
        <w:top w:val="none" w:sz="0" w:space="0" w:color="auto"/>
        <w:left w:val="none" w:sz="0" w:space="0" w:color="auto"/>
        <w:bottom w:val="none" w:sz="0" w:space="0" w:color="auto"/>
        <w:right w:val="none" w:sz="0" w:space="0" w:color="auto"/>
      </w:divBdr>
    </w:div>
    <w:div w:id="353264676">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
    <w:div w:id="366368675">
      <w:bodyDiv w:val="1"/>
      <w:marLeft w:val="0"/>
      <w:marRight w:val="0"/>
      <w:marTop w:val="0"/>
      <w:marBottom w:val="0"/>
      <w:divBdr>
        <w:top w:val="none" w:sz="0" w:space="0" w:color="auto"/>
        <w:left w:val="none" w:sz="0" w:space="0" w:color="auto"/>
        <w:bottom w:val="none" w:sz="0" w:space="0" w:color="auto"/>
        <w:right w:val="none" w:sz="0" w:space="0" w:color="auto"/>
      </w:divBdr>
    </w:div>
    <w:div w:id="440341527">
      <w:bodyDiv w:val="1"/>
      <w:marLeft w:val="0"/>
      <w:marRight w:val="0"/>
      <w:marTop w:val="0"/>
      <w:marBottom w:val="0"/>
      <w:divBdr>
        <w:top w:val="none" w:sz="0" w:space="0" w:color="auto"/>
        <w:left w:val="none" w:sz="0" w:space="0" w:color="auto"/>
        <w:bottom w:val="none" w:sz="0" w:space="0" w:color="auto"/>
        <w:right w:val="none" w:sz="0" w:space="0" w:color="auto"/>
      </w:divBdr>
    </w:div>
    <w:div w:id="448284636">
      <w:bodyDiv w:val="1"/>
      <w:marLeft w:val="0"/>
      <w:marRight w:val="0"/>
      <w:marTop w:val="0"/>
      <w:marBottom w:val="0"/>
      <w:divBdr>
        <w:top w:val="none" w:sz="0" w:space="0" w:color="auto"/>
        <w:left w:val="none" w:sz="0" w:space="0" w:color="auto"/>
        <w:bottom w:val="none" w:sz="0" w:space="0" w:color="auto"/>
        <w:right w:val="none" w:sz="0" w:space="0" w:color="auto"/>
      </w:divBdr>
    </w:div>
    <w:div w:id="466820247">
      <w:bodyDiv w:val="1"/>
      <w:marLeft w:val="0"/>
      <w:marRight w:val="0"/>
      <w:marTop w:val="0"/>
      <w:marBottom w:val="0"/>
      <w:divBdr>
        <w:top w:val="none" w:sz="0" w:space="0" w:color="auto"/>
        <w:left w:val="none" w:sz="0" w:space="0" w:color="auto"/>
        <w:bottom w:val="none" w:sz="0" w:space="0" w:color="auto"/>
        <w:right w:val="none" w:sz="0" w:space="0" w:color="auto"/>
      </w:divBdr>
    </w:div>
    <w:div w:id="467284951">
      <w:bodyDiv w:val="1"/>
      <w:marLeft w:val="0"/>
      <w:marRight w:val="0"/>
      <w:marTop w:val="0"/>
      <w:marBottom w:val="0"/>
      <w:divBdr>
        <w:top w:val="none" w:sz="0" w:space="0" w:color="auto"/>
        <w:left w:val="none" w:sz="0" w:space="0" w:color="auto"/>
        <w:bottom w:val="none" w:sz="0" w:space="0" w:color="auto"/>
        <w:right w:val="none" w:sz="0" w:space="0" w:color="auto"/>
      </w:divBdr>
    </w:div>
    <w:div w:id="486358417">
      <w:bodyDiv w:val="1"/>
      <w:marLeft w:val="0"/>
      <w:marRight w:val="0"/>
      <w:marTop w:val="0"/>
      <w:marBottom w:val="0"/>
      <w:divBdr>
        <w:top w:val="none" w:sz="0" w:space="0" w:color="auto"/>
        <w:left w:val="none" w:sz="0" w:space="0" w:color="auto"/>
        <w:bottom w:val="none" w:sz="0" w:space="0" w:color="auto"/>
        <w:right w:val="none" w:sz="0" w:space="0" w:color="auto"/>
      </w:divBdr>
    </w:div>
    <w:div w:id="489563695">
      <w:bodyDiv w:val="1"/>
      <w:marLeft w:val="0"/>
      <w:marRight w:val="0"/>
      <w:marTop w:val="0"/>
      <w:marBottom w:val="0"/>
      <w:divBdr>
        <w:top w:val="none" w:sz="0" w:space="0" w:color="auto"/>
        <w:left w:val="none" w:sz="0" w:space="0" w:color="auto"/>
        <w:bottom w:val="none" w:sz="0" w:space="0" w:color="auto"/>
        <w:right w:val="none" w:sz="0" w:space="0" w:color="auto"/>
      </w:divBdr>
    </w:div>
    <w:div w:id="495730199">
      <w:bodyDiv w:val="1"/>
      <w:marLeft w:val="0"/>
      <w:marRight w:val="0"/>
      <w:marTop w:val="0"/>
      <w:marBottom w:val="0"/>
      <w:divBdr>
        <w:top w:val="none" w:sz="0" w:space="0" w:color="auto"/>
        <w:left w:val="none" w:sz="0" w:space="0" w:color="auto"/>
        <w:bottom w:val="none" w:sz="0" w:space="0" w:color="auto"/>
        <w:right w:val="none" w:sz="0" w:space="0" w:color="auto"/>
      </w:divBdr>
    </w:div>
    <w:div w:id="538249857">
      <w:bodyDiv w:val="1"/>
      <w:marLeft w:val="0"/>
      <w:marRight w:val="0"/>
      <w:marTop w:val="0"/>
      <w:marBottom w:val="0"/>
      <w:divBdr>
        <w:top w:val="none" w:sz="0" w:space="0" w:color="auto"/>
        <w:left w:val="none" w:sz="0" w:space="0" w:color="auto"/>
        <w:bottom w:val="none" w:sz="0" w:space="0" w:color="auto"/>
        <w:right w:val="none" w:sz="0" w:space="0" w:color="auto"/>
      </w:divBdr>
    </w:div>
    <w:div w:id="543297994">
      <w:bodyDiv w:val="1"/>
      <w:marLeft w:val="0"/>
      <w:marRight w:val="0"/>
      <w:marTop w:val="0"/>
      <w:marBottom w:val="0"/>
      <w:divBdr>
        <w:top w:val="none" w:sz="0" w:space="0" w:color="auto"/>
        <w:left w:val="none" w:sz="0" w:space="0" w:color="auto"/>
        <w:bottom w:val="none" w:sz="0" w:space="0" w:color="auto"/>
        <w:right w:val="none" w:sz="0" w:space="0" w:color="auto"/>
      </w:divBdr>
    </w:div>
    <w:div w:id="546265261">
      <w:bodyDiv w:val="1"/>
      <w:marLeft w:val="0"/>
      <w:marRight w:val="0"/>
      <w:marTop w:val="0"/>
      <w:marBottom w:val="0"/>
      <w:divBdr>
        <w:top w:val="none" w:sz="0" w:space="0" w:color="auto"/>
        <w:left w:val="none" w:sz="0" w:space="0" w:color="auto"/>
        <w:bottom w:val="none" w:sz="0" w:space="0" w:color="auto"/>
        <w:right w:val="none" w:sz="0" w:space="0" w:color="auto"/>
      </w:divBdr>
    </w:div>
    <w:div w:id="547955137">
      <w:bodyDiv w:val="1"/>
      <w:marLeft w:val="0"/>
      <w:marRight w:val="0"/>
      <w:marTop w:val="0"/>
      <w:marBottom w:val="0"/>
      <w:divBdr>
        <w:top w:val="none" w:sz="0" w:space="0" w:color="auto"/>
        <w:left w:val="none" w:sz="0" w:space="0" w:color="auto"/>
        <w:bottom w:val="none" w:sz="0" w:space="0" w:color="auto"/>
        <w:right w:val="none" w:sz="0" w:space="0" w:color="auto"/>
      </w:divBdr>
    </w:div>
    <w:div w:id="577403843">
      <w:bodyDiv w:val="1"/>
      <w:marLeft w:val="0"/>
      <w:marRight w:val="0"/>
      <w:marTop w:val="0"/>
      <w:marBottom w:val="0"/>
      <w:divBdr>
        <w:top w:val="none" w:sz="0" w:space="0" w:color="auto"/>
        <w:left w:val="none" w:sz="0" w:space="0" w:color="auto"/>
        <w:bottom w:val="none" w:sz="0" w:space="0" w:color="auto"/>
        <w:right w:val="none" w:sz="0" w:space="0" w:color="auto"/>
      </w:divBdr>
    </w:div>
    <w:div w:id="583345041">
      <w:bodyDiv w:val="1"/>
      <w:marLeft w:val="0"/>
      <w:marRight w:val="0"/>
      <w:marTop w:val="0"/>
      <w:marBottom w:val="0"/>
      <w:divBdr>
        <w:top w:val="none" w:sz="0" w:space="0" w:color="auto"/>
        <w:left w:val="none" w:sz="0" w:space="0" w:color="auto"/>
        <w:bottom w:val="none" w:sz="0" w:space="0" w:color="auto"/>
        <w:right w:val="none" w:sz="0" w:space="0" w:color="auto"/>
      </w:divBdr>
    </w:div>
    <w:div w:id="594746389">
      <w:bodyDiv w:val="1"/>
      <w:marLeft w:val="0"/>
      <w:marRight w:val="0"/>
      <w:marTop w:val="0"/>
      <w:marBottom w:val="0"/>
      <w:divBdr>
        <w:top w:val="none" w:sz="0" w:space="0" w:color="auto"/>
        <w:left w:val="none" w:sz="0" w:space="0" w:color="auto"/>
        <w:bottom w:val="none" w:sz="0" w:space="0" w:color="auto"/>
        <w:right w:val="none" w:sz="0" w:space="0" w:color="auto"/>
      </w:divBdr>
    </w:div>
    <w:div w:id="598297883">
      <w:bodyDiv w:val="1"/>
      <w:marLeft w:val="0"/>
      <w:marRight w:val="0"/>
      <w:marTop w:val="0"/>
      <w:marBottom w:val="0"/>
      <w:divBdr>
        <w:top w:val="none" w:sz="0" w:space="0" w:color="auto"/>
        <w:left w:val="none" w:sz="0" w:space="0" w:color="auto"/>
        <w:bottom w:val="none" w:sz="0" w:space="0" w:color="auto"/>
        <w:right w:val="none" w:sz="0" w:space="0" w:color="auto"/>
      </w:divBdr>
    </w:div>
    <w:div w:id="604309190">
      <w:bodyDiv w:val="1"/>
      <w:marLeft w:val="0"/>
      <w:marRight w:val="0"/>
      <w:marTop w:val="0"/>
      <w:marBottom w:val="0"/>
      <w:divBdr>
        <w:top w:val="none" w:sz="0" w:space="0" w:color="auto"/>
        <w:left w:val="none" w:sz="0" w:space="0" w:color="auto"/>
        <w:bottom w:val="none" w:sz="0" w:space="0" w:color="auto"/>
        <w:right w:val="none" w:sz="0" w:space="0" w:color="auto"/>
      </w:divBdr>
    </w:div>
    <w:div w:id="614752700">
      <w:bodyDiv w:val="1"/>
      <w:marLeft w:val="0"/>
      <w:marRight w:val="0"/>
      <w:marTop w:val="0"/>
      <w:marBottom w:val="0"/>
      <w:divBdr>
        <w:top w:val="none" w:sz="0" w:space="0" w:color="auto"/>
        <w:left w:val="none" w:sz="0" w:space="0" w:color="auto"/>
        <w:bottom w:val="none" w:sz="0" w:space="0" w:color="auto"/>
        <w:right w:val="none" w:sz="0" w:space="0" w:color="auto"/>
      </w:divBdr>
    </w:div>
    <w:div w:id="629358935">
      <w:bodyDiv w:val="1"/>
      <w:marLeft w:val="0"/>
      <w:marRight w:val="0"/>
      <w:marTop w:val="0"/>
      <w:marBottom w:val="0"/>
      <w:divBdr>
        <w:top w:val="none" w:sz="0" w:space="0" w:color="auto"/>
        <w:left w:val="none" w:sz="0" w:space="0" w:color="auto"/>
        <w:bottom w:val="none" w:sz="0" w:space="0" w:color="auto"/>
        <w:right w:val="none" w:sz="0" w:space="0" w:color="auto"/>
      </w:divBdr>
    </w:div>
    <w:div w:id="639961886">
      <w:bodyDiv w:val="1"/>
      <w:marLeft w:val="0"/>
      <w:marRight w:val="0"/>
      <w:marTop w:val="0"/>
      <w:marBottom w:val="0"/>
      <w:divBdr>
        <w:top w:val="none" w:sz="0" w:space="0" w:color="auto"/>
        <w:left w:val="none" w:sz="0" w:space="0" w:color="auto"/>
        <w:bottom w:val="none" w:sz="0" w:space="0" w:color="auto"/>
        <w:right w:val="none" w:sz="0" w:space="0" w:color="auto"/>
      </w:divBdr>
    </w:div>
    <w:div w:id="650061876">
      <w:bodyDiv w:val="1"/>
      <w:marLeft w:val="0"/>
      <w:marRight w:val="0"/>
      <w:marTop w:val="0"/>
      <w:marBottom w:val="0"/>
      <w:divBdr>
        <w:top w:val="none" w:sz="0" w:space="0" w:color="auto"/>
        <w:left w:val="none" w:sz="0" w:space="0" w:color="auto"/>
        <w:bottom w:val="none" w:sz="0" w:space="0" w:color="auto"/>
        <w:right w:val="none" w:sz="0" w:space="0" w:color="auto"/>
      </w:divBdr>
    </w:div>
    <w:div w:id="653528328">
      <w:bodyDiv w:val="1"/>
      <w:marLeft w:val="0"/>
      <w:marRight w:val="0"/>
      <w:marTop w:val="0"/>
      <w:marBottom w:val="0"/>
      <w:divBdr>
        <w:top w:val="none" w:sz="0" w:space="0" w:color="auto"/>
        <w:left w:val="none" w:sz="0" w:space="0" w:color="auto"/>
        <w:bottom w:val="none" w:sz="0" w:space="0" w:color="auto"/>
        <w:right w:val="none" w:sz="0" w:space="0" w:color="auto"/>
      </w:divBdr>
    </w:div>
    <w:div w:id="656492680">
      <w:bodyDiv w:val="1"/>
      <w:marLeft w:val="0"/>
      <w:marRight w:val="0"/>
      <w:marTop w:val="0"/>
      <w:marBottom w:val="0"/>
      <w:divBdr>
        <w:top w:val="none" w:sz="0" w:space="0" w:color="auto"/>
        <w:left w:val="none" w:sz="0" w:space="0" w:color="auto"/>
        <w:bottom w:val="none" w:sz="0" w:space="0" w:color="auto"/>
        <w:right w:val="none" w:sz="0" w:space="0" w:color="auto"/>
      </w:divBdr>
    </w:div>
    <w:div w:id="659234871">
      <w:bodyDiv w:val="1"/>
      <w:marLeft w:val="0"/>
      <w:marRight w:val="0"/>
      <w:marTop w:val="0"/>
      <w:marBottom w:val="0"/>
      <w:divBdr>
        <w:top w:val="none" w:sz="0" w:space="0" w:color="auto"/>
        <w:left w:val="none" w:sz="0" w:space="0" w:color="auto"/>
        <w:bottom w:val="none" w:sz="0" w:space="0" w:color="auto"/>
        <w:right w:val="none" w:sz="0" w:space="0" w:color="auto"/>
      </w:divBdr>
    </w:div>
    <w:div w:id="659583228">
      <w:bodyDiv w:val="1"/>
      <w:marLeft w:val="0"/>
      <w:marRight w:val="0"/>
      <w:marTop w:val="0"/>
      <w:marBottom w:val="0"/>
      <w:divBdr>
        <w:top w:val="none" w:sz="0" w:space="0" w:color="auto"/>
        <w:left w:val="none" w:sz="0" w:space="0" w:color="auto"/>
        <w:bottom w:val="none" w:sz="0" w:space="0" w:color="auto"/>
        <w:right w:val="none" w:sz="0" w:space="0" w:color="auto"/>
      </w:divBdr>
    </w:div>
    <w:div w:id="664431554">
      <w:bodyDiv w:val="1"/>
      <w:marLeft w:val="0"/>
      <w:marRight w:val="0"/>
      <w:marTop w:val="0"/>
      <w:marBottom w:val="0"/>
      <w:divBdr>
        <w:top w:val="none" w:sz="0" w:space="0" w:color="auto"/>
        <w:left w:val="none" w:sz="0" w:space="0" w:color="auto"/>
        <w:bottom w:val="none" w:sz="0" w:space="0" w:color="auto"/>
        <w:right w:val="none" w:sz="0" w:space="0" w:color="auto"/>
      </w:divBdr>
    </w:div>
    <w:div w:id="708190525">
      <w:bodyDiv w:val="1"/>
      <w:marLeft w:val="0"/>
      <w:marRight w:val="0"/>
      <w:marTop w:val="0"/>
      <w:marBottom w:val="0"/>
      <w:divBdr>
        <w:top w:val="none" w:sz="0" w:space="0" w:color="auto"/>
        <w:left w:val="none" w:sz="0" w:space="0" w:color="auto"/>
        <w:bottom w:val="none" w:sz="0" w:space="0" w:color="auto"/>
        <w:right w:val="none" w:sz="0" w:space="0" w:color="auto"/>
      </w:divBdr>
    </w:div>
    <w:div w:id="709692633">
      <w:bodyDiv w:val="1"/>
      <w:marLeft w:val="0"/>
      <w:marRight w:val="0"/>
      <w:marTop w:val="0"/>
      <w:marBottom w:val="0"/>
      <w:divBdr>
        <w:top w:val="none" w:sz="0" w:space="0" w:color="auto"/>
        <w:left w:val="none" w:sz="0" w:space="0" w:color="auto"/>
        <w:bottom w:val="none" w:sz="0" w:space="0" w:color="auto"/>
        <w:right w:val="none" w:sz="0" w:space="0" w:color="auto"/>
      </w:divBdr>
    </w:div>
    <w:div w:id="716587460">
      <w:bodyDiv w:val="1"/>
      <w:marLeft w:val="0"/>
      <w:marRight w:val="0"/>
      <w:marTop w:val="0"/>
      <w:marBottom w:val="0"/>
      <w:divBdr>
        <w:top w:val="none" w:sz="0" w:space="0" w:color="auto"/>
        <w:left w:val="none" w:sz="0" w:space="0" w:color="auto"/>
        <w:bottom w:val="none" w:sz="0" w:space="0" w:color="auto"/>
        <w:right w:val="none" w:sz="0" w:space="0" w:color="auto"/>
      </w:divBdr>
    </w:div>
    <w:div w:id="733430648">
      <w:bodyDiv w:val="1"/>
      <w:marLeft w:val="0"/>
      <w:marRight w:val="0"/>
      <w:marTop w:val="0"/>
      <w:marBottom w:val="0"/>
      <w:divBdr>
        <w:top w:val="none" w:sz="0" w:space="0" w:color="auto"/>
        <w:left w:val="none" w:sz="0" w:space="0" w:color="auto"/>
        <w:bottom w:val="none" w:sz="0" w:space="0" w:color="auto"/>
        <w:right w:val="none" w:sz="0" w:space="0" w:color="auto"/>
      </w:divBdr>
    </w:div>
    <w:div w:id="738989342">
      <w:bodyDiv w:val="1"/>
      <w:marLeft w:val="0"/>
      <w:marRight w:val="0"/>
      <w:marTop w:val="0"/>
      <w:marBottom w:val="0"/>
      <w:divBdr>
        <w:top w:val="none" w:sz="0" w:space="0" w:color="auto"/>
        <w:left w:val="none" w:sz="0" w:space="0" w:color="auto"/>
        <w:bottom w:val="none" w:sz="0" w:space="0" w:color="auto"/>
        <w:right w:val="none" w:sz="0" w:space="0" w:color="auto"/>
      </w:divBdr>
    </w:div>
    <w:div w:id="739863492">
      <w:bodyDiv w:val="1"/>
      <w:marLeft w:val="0"/>
      <w:marRight w:val="0"/>
      <w:marTop w:val="0"/>
      <w:marBottom w:val="0"/>
      <w:divBdr>
        <w:top w:val="none" w:sz="0" w:space="0" w:color="auto"/>
        <w:left w:val="none" w:sz="0" w:space="0" w:color="auto"/>
        <w:bottom w:val="none" w:sz="0" w:space="0" w:color="auto"/>
        <w:right w:val="none" w:sz="0" w:space="0" w:color="auto"/>
      </w:divBdr>
    </w:div>
    <w:div w:id="743843105">
      <w:bodyDiv w:val="1"/>
      <w:marLeft w:val="0"/>
      <w:marRight w:val="0"/>
      <w:marTop w:val="0"/>
      <w:marBottom w:val="0"/>
      <w:divBdr>
        <w:top w:val="none" w:sz="0" w:space="0" w:color="auto"/>
        <w:left w:val="none" w:sz="0" w:space="0" w:color="auto"/>
        <w:bottom w:val="none" w:sz="0" w:space="0" w:color="auto"/>
        <w:right w:val="none" w:sz="0" w:space="0" w:color="auto"/>
      </w:divBdr>
    </w:div>
    <w:div w:id="747383823">
      <w:bodyDiv w:val="1"/>
      <w:marLeft w:val="0"/>
      <w:marRight w:val="0"/>
      <w:marTop w:val="0"/>
      <w:marBottom w:val="0"/>
      <w:divBdr>
        <w:top w:val="none" w:sz="0" w:space="0" w:color="auto"/>
        <w:left w:val="none" w:sz="0" w:space="0" w:color="auto"/>
        <w:bottom w:val="none" w:sz="0" w:space="0" w:color="auto"/>
        <w:right w:val="none" w:sz="0" w:space="0" w:color="auto"/>
      </w:divBdr>
    </w:div>
    <w:div w:id="754401054">
      <w:bodyDiv w:val="1"/>
      <w:marLeft w:val="0"/>
      <w:marRight w:val="0"/>
      <w:marTop w:val="0"/>
      <w:marBottom w:val="0"/>
      <w:divBdr>
        <w:top w:val="none" w:sz="0" w:space="0" w:color="auto"/>
        <w:left w:val="none" w:sz="0" w:space="0" w:color="auto"/>
        <w:bottom w:val="none" w:sz="0" w:space="0" w:color="auto"/>
        <w:right w:val="none" w:sz="0" w:space="0" w:color="auto"/>
      </w:divBdr>
    </w:div>
    <w:div w:id="784887586">
      <w:bodyDiv w:val="1"/>
      <w:marLeft w:val="0"/>
      <w:marRight w:val="0"/>
      <w:marTop w:val="0"/>
      <w:marBottom w:val="0"/>
      <w:divBdr>
        <w:top w:val="none" w:sz="0" w:space="0" w:color="auto"/>
        <w:left w:val="none" w:sz="0" w:space="0" w:color="auto"/>
        <w:bottom w:val="none" w:sz="0" w:space="0" w:color="auto"/>
        <w:right w:val="none" w:sz="0" w:space="0" w:color="auto"/>
      </w:divBdr>
    </w:div>
    <w:div w:id="786701491">
      <w:bodyDiv w:val="1"/>
      <w:marLeft w:val="0"/>
      <w:marRight w:val="0"/>
      <w:marTop w:val="0"/>
      <w:marBottom w:val="0"/>
      <w:divBdr>
        <w:top w:val="none" w:sz="0" w:space="0" w:color="auto"/>
        <w:left w:val="none" w:sz="0" w:space="0" w:color="auto"/>
        <w:bottom w:val="none" w:sz="0" w:space="0" w:color="auto"/>
        <w:right w:val="none" w:sz="0" w:space="0" w:color="auto"/>
      </w:divBdr>
    </w:div>
    <w:div w:id="823931509">
      <w:bodyDiv w:val="1"/>
      <w:marLeft w:val="0"/>
      <w:marRight w:val="0"/>
      <w:marTop w:val="0"/>
      <w:marBottom w:val="0"/>
      <w:divBdr>
        <w:top w:val="none" w:sz="0" w:space="0" w:color="auto"/>
        <w:left w:val="none" w:sz="0" w:space="0" w:color="auto"/>
        <w:bottom w:val="none" w:sz="0" w:space="0" w:color="auto"/>
        <w:right w:val="none" w:sz="0" w:space="0" w:color="auto"/>
      </w:divBdr>
    </w:div>
    <w:div w:id="829253903">
      <w:bodyDiv w:val="1"/>
      <w:marLeft w:val="0"/>
      <w:marRight w:val="0"/>
      <w:marTop w:val="0"/>
      <w:marBottom w:val="0"/>
      <w:divBdr>
        <w:top w:val="none" w:sz="0" w:space="0" w:color="auto"/>
        <w:left w:val="none" w:sz="0" w:space="0" w:color="auto"/>
        <w:bottom w:val="none" w:sz="0" w:space="0" w:color="auto"/>
        <w:right w:val="none" w:sz="0" w:space="0" w:color="auto"/>
      </w:divBdr>
    </w:div>
    <w:div w:id="837229795">
      <w:bodyDiv w:val="1"/>
      <w:marLeft w:val="0"/>
      <w:marRight w:val="0"/>
      <w:marTop w:val="0"/>
      <w:marBottom w:val="0"/>
      <w:divBdr>
        <w:top w:val="none" w:sz="0" w:space="0" w:color="auto"/>
        <w:left w:val="none" w:sz="0" w:space="0" w:color="auto"/>
        <w:bottom w:val="none" w:sz="0" w:space="0" w:color="auto"/>
        <w:right w:val="none" w:sz="0" w:space="0" w:color="auto"/>
      </w:divBdr>
    </w:div>
    <w:div w:id="838812187">
      <w:bodyDiv w:val="1"/>
      <w:marLeft w:val="0"/>
      <w:marRight w:val="0"/>
      <w:marTop w:val="0"/>
      <w:marBottom w:val="0"/>
      <w:divBdr>
        <w:top w:val="none" w:sz="0" w:space="0" w:color="auto"/>
        <w:left w:val="none" w:sz="0" w:space="0" w:color="auto"/>
        <w:bottom w:val="none" w:sz="0" w:space="0" w:color="auto"/>
        <w:right w:val="none" w:sz="0" w:space="0" w:color="auto"/>
      </w:divBdr>
    </w:div>
    <w:div w:id="841698900">
      <w:bodyDiv w:val="1"/>
      <w:marLeft w:val="0"/>
      <w:marRight w:val="0"/>
      <w:marTop w:val="0"/>
      <w:marBottom w:val="0"/>
      <w:divBdr>
        <w:top w:val="none" w:sz="0" w:space="0" w:color="auto"/>
        <w:left w:val="none" w:sz="0" w:space="0" w:color="auto"/>
        <w:bottom w:val="none" w:sz="0" w:space="0" w:color="auto"/>
        <w:right w:val="none" w:sz="0" w:space="0" w:color="auto"/>
      </w:divBdr>
    </w:div>
    <w:div w:id="847406064">
      <w:bodyDiv w:val="1"/>
      <w:marLeft w:val="0"/>
      <w:marRight w:val="0"/>
      <w:marTop w:val="0"/>
      <w:marBottom w:val="0"/>
      <w:divBdr>
        <w:top w:val="none" w:sz="0" w:space="0" w:color="auto"/>
        <w:left w:val="none" w:sz="0" w:space="0" w:color="auto"/>
        <w:bottom w:val="none" w:sz="0" w:space="0" w:color="auto"/>
        <w:right w:val="none" w:sz="0" w:space="0" w:color="auto"/>
      </w:divBdr>
    </w:div>
    <w:div w:id="848566308">
      <w:bodyDiv w:val="1"/>
      <w:marLeft w:val="0"/>
      <w:marRight w:val="0"/>
      <w:marTop w:val="0"/>
      <w:marBottom w:val="0"/>
      <w:divBdr>
        <w:top w:val="none" w:sz="0" w:space="0" w:color="auto"/>
        <w:left w:val="none" w:sz="0" w:space="0" w:color="auto"/>
        <w:bottom w:val="none" w:sz="0" w:space="0" w:color="auto"/>
        <w:right w:val="none" w:sz="0" w:space="0" w:color="auto"/>
      </w:divBdr>
    </w:div>
    <w:div w:id="851458767">
      <w:bodyDiv w:val="1"/>
      <w:marLeft w:val="0"/>
      <w:marRight w:val="0"/>
      <w:marTop w:val="0"/>
      <w:marBottom w:val="0"/>
      <w:divBdr>
        <w:top w:val="none" w:sz="0" w:space="0" w:color="auto"/>
        <w:left w:val="none" w:sz="0" w:space="0" w:color="auto"/>
        <w:bottom w:val="none" w:sz="0" w:space="0" w:color="auto"/>
        <w:right w:val="none" w:sz="0" w:space="0" w:color="auto"/>
      </w:divBdr>
    </w:div>
    <w:div w:id="856970335">
      <w:bodyDiv w:val="1"/>
      <w:marLeft w:val="0"/>
      <w:marRight w:val="0"/>
      <w:marTop w:val="0"/>
      <w:marBottom w:val="0"/>
      <w:divBdr>
        <w:top w:val="none" w:sz="0" w:space="0" w:color="auto"/>
        <w:left w:val="none" w:sz="0" w:space="0" w:color="auto"/>
        <w:bottom w:val="none" w:sz="0" w:space="0" w:color="auto"/>
        <w:right w:val="none" w:sz="0" w:space="0" w:color="auto"/>
      </w:divBdr>
    </w:div>
    <w:div w:id="863251387">
      <w:bodyDiv w:val="1"/>
      <w:marLeft w:val="0"/>
      <w:marRight w:val="0"/>
      <w:marTop w:val="0"/>
      <w:marBottom w:val="0"/>
      <w:divBdr>
        <w:top w:val="none" w:sz="0" w:space="0" w:color="auto"/>
        <w:left w:val="none" w:sz="0" w:space="0" w:color="auto"/>
        <w:bottom w:val="none" w:sz="0" w:space="0" w:color="auto"/>
        <w:right w:val="none" w:sz="0" w:space="0" w:color="auto"/>
      </w:divBdr>
    </w:div>
    <w:div w:id="877738357">
      <w:bodyDiv w:val="1"/>
      <w:marLeft w:val="0"/>
      <w:marRight w:val="0"/>
      <w:marTop w:val="0"/>
      <w:marBottom w:val="0"/>
      <w:divBdr>
        <w:top w:val="none" w:sz="0" w:space="0" w:color="auto"/>
        <w:left w:val="none" w:sz="0" w:space="0" w:color="auto"/>
        <w:bottom w:val="none" w:sz="0" w:space="0" w:color="auto"/>
        <w:right w:val="none" w:sz="0" w:space="0" w:color="auto"/>
      </w:divBdr>
    </w:div>
    <w:div w:id="884147707">
      <w:bodyDiv w:val="1"/>
      <w:marLeft w:val="0"/>
      <w:marRight w:val="0"/>
      <w:marTop w:val="0"/>
      <w:marBottom w:val="0"/>
      <w:divBdr>
        <w:top w:val="none" w:sz="0" w:space="0" w:color="auto"/>
        <w:left w:val="none" w:sz="0" w:space="0" w:color="auto"/>
        <w:bottom w:val="none" w:sz="0" w:space="0" w:color="auto"/>
        <w:right w:val="none" w:sz="0" w:space="0" w:color="auto"/>
      </w:divBdr>
    </w:div>
    <w:div w:id="903755735">
      <w:bodyDiv w:val="1"/>
      <w:marLeft w:val="0"/>
      <w:marRight w:val="0"/>
      <w:marTop w:val="0"/>
      <w:marBottom w:val="0"/>
      <w:divBdr>
        <w:top w:val="none" w:sz="0" w:space="0" w:color="auto"/>
        <w:left w:val="none" w:sz="0" w:space="0" w:color="auto"/>
        <w:bottom w:val="none" w:sz="0" w:space="0" w:color="auto"/>
        <w:right w:val="none" w:sz="0" w:space="0" w:color="auto"/>
      </w:divBdr>
    </w:div>
    <w:div w:id="917204317">
      <w:bodyDiv w:val="1"/>
      <w:marLeft w:val="0"/>
      <w:marRight w:val="0"/>
      <w:marTop w:val="0"/>
      <w:marBottom w:val="0"/>
      <w:divBdr>
        <w:top w:val="none" w:sz="0" w:space="0" w:color="auto"/>
        <w:left w:val="none" w:sz="0" w:space="0" w:color="auto"/>
        <w:bottom w:val="none" w:sz="0" w:space="0" w:color="auto"/>
        <w:right w:val="none" w:sz="0" w:space="0" w:color="auto"/>
      </w:divBdr>
    </w:div>
    <w:div w:id="917641903">
      <w:bodyDiv w:val="1"/>
      <w:marLeft w:val="0"/>
      <w:marRight w:val="0"/>
      <w:marTop w:val="0"/>
      <w:marBottom w:val="0"/>
      <w:divBdr>
        <w:top w:val="none" w:sz="0" w:space="0" w:color="auto"/>
        <w:left w:val="none" w:sz="0" w:space="0" w:color="auto"/>
        <w:bottom w:val="none" w:sz="0" w:space="0" w:color="auto"/>
        <w:right w:val="none" w:sz="0" w:space="0" w:color="auto"/>
      </w:divBdr>
    </w:div>
    <w:div w:id="954211766">
      <w:bodyDiv w:val="1"/>
      <w:marLeft w:val="0"/>
      <w:marRight w:val="0"/>
      <w:marTop w:val="0"/>
      <w:marBottom w:val="0"/>
      <w:divBdr>
        <w:top w:val="none" w:sz="0" w:space="0" w:color="auto"/>
        <w:left w:val="none" w:sz="0" w:space="0" w:color="auto"/>
        <w:bottom w:val="none" w:sz="0" w:space="0" w:color="auto"/>
        <w:right w:val="none" w:sz="0" w:space="0" w:color="auto"/>
      </w:divBdr>
    </w:div>
    <w:div w:id="979917825">
      <w:bodyDiv w:val="1"/>
      <w:marLeft w:val="0"/>
      <w:marRight w:val="0"/>
      <w:marTop w:val="0"/>
      <w:marBottom w:val="0"/>
      <w:divBdr>
        <w:top w:val="none" w:sz="0" w:space="0" w:color="auto"/>
        <w:left w:val="none" w:sz="0" w:space="0" w:color="auto"/>
        <w:bottom w:val="none" w:sz="0" w:space="0" w:color="auto"/>
        <w:right w:val="none" w:sz="0" w:space="0" w:color="auto"/>
      </w:divBdr>
    </w:div>
    <w:div w:id="981540430">
      <w:bodyDiv w:val="1"/>
      <w:marLeft w:val="0"/>
      <w:marRight w:val="0"/>
      <w:marTop w:val="0"/>
      <w:marBottom w:val="0"/>
      <w:divBdr>
        <w:top w:val="none" w:sz="0" w:space="0" w:color="auto"/>
        <w:left w:val="none" w:sz="0" w:space="0" w:color="auto"/>
        <w:bottom w:val="none" w:sz="0" w:space="0" w:color="auto"/>
        <w:right w:val="none" w:sz="0" w:space="0" w:color="auto"/>
      </w:divBdr>
    </w:div>
    <w:div w:id="986666514">
      <w:bodyDiv w:val="1"/>
      <w:marLeft w:val="0"/>
      <w:marRight w:val="0"/>
      <w:marTop w:val="0"/>
      <w:marBottom w:val="0"/>
      <w:divBdr>
        <w:top w:val="none" w:sz="0" w:space="0" w:color="auto"/>
        <w:left w:val="none" w:sz="0" w:space="0" w:color="auto"/>
        <w:bottom w:val="none" w:sz="0" w:space="0" w:color="auto"/>
        <w:right w:val="none" w:sz="0" w:space="0" w:color="auto"/>
      </w:divBdr>
    </w:div>
    <w:div w:id="992413966">
      <w:bodyDiv w:val="1"/>
      <w:marLeft w:val="0"/>
      <w:marRight w:val="0"/>
      <w:marTop w:val="0"/>
      <w:marBottom w:val="0"/>
      <w:divBdr>
        <w:top w:val="none" w:sz="0" w:space="0" w:color="auto"/>
        <w:left w:val="none" w:sz="0" w:space="0" w:color="auto"/>
        <w:bottom w:val="none" w:sz="0" w:space="0" w:color="auto"/>
        <w:right w:val="none" w:sz="0" w:space="0" w:color="auto"/>
      </w:divBdr>
    </w:div>
    <w:div w:id="998000636">
      <w:bodyDiv w:val="1"/>
      <w:marLeft w:val="0"/>
      <w:marRight w:val="0"/>
      <w:marTop w:val="0"/>
      <w:marBottom w:val="0"/>
      <w:divBdr>
        <w:top w:val="none" w:sz="0" w:space="0" w:color="auto"/>
        <w:left w:val="none" w:sz="0" w:space="0" w:color="auto"/>
        <w:bottom w:val="none" w:sz="0" w:space="0" w:color="auto"/>
        <w:right w:val="none" w:sz="0" w:space="0" w:color="auto"/>
      </w:divBdr>
    </w:div>
    <w:div w:id="1023944372">
      <w:bodyDiv w:val="1"/>
      <w:marLeft w:val="0"/>
      <w:marRight w:val="0"/>
      <w:marTop w:val="0"/>
      <w:marBottom w:val="0"/>
      <w:divBdr>
        <w:top w:val="none" w:sz="0" w:space="0" w:color="auto"/>
        <w:left w:val="none" w:sz="0" w:space="0" w:color="auto"/>
        <w:bottom w:val="none" w:sz="0" w:space="0" w:color="auto"/>
        <w:right w:val="none" w:sz="0" w:space="0" w:color="auto"/>
      </w:divBdr>
    </w:div>
    <w:div w:id="1031077908">
      <w:bodyDiv w:val="1"/>
      <w:marLeft w:val="0"/>
      <w:marRight w:val="0"/>
      <w:marTop w:val="0"/>
      <w:marBottom w:val="0"/>
      <w:divBdr>
        <w:top w:val="none" w:sz="0" w:space="0" w:color="auto"/>
        <w:left w:val="none" w:sz="0" w:space="0" w:color="auto"/>
        <w:bottom w:val="none" w:sz="0" w:space="0" w:color="auto"/>
        <w:right w:val="none" w:sz="0" w:space="0" w:color="auto"/>
      </w:divBdr>
    </w:div>
    <w:div w:id="1035351908">
      <w:bodyDiv w:val="1"/>
      <w:marLeft w:val="0"/>
      <w:marRight w:val="0"/>
      <w:marTop w:val="0"/>
      <w:marBottom w:val="0"/>
      <w:divBdr>
        <w:top w:val="none" w:sz="0" w:space="0" w:color="auto"/>
        <w:left w:val="none" w:sz="0" w:space="0" w:color="auto"/>
        <w:bottom w:val="none" w:sz="0" w:space="0" w:color="auto"/>
        <w:right w:val="none" w:sz="0" w:space="0" w:color="auto"/>
      </w:divBdr>
    </w:div>
    <w:div w:id="1063673763">
      <w:bodyDiv w:val="1"/>
      <w:marLeft w:val="0"/>
      <w:marRight w:val="0"/>
      <w:marTop w:val="0"/>
      <w:marBottom w:val="0"/>
      <w:divBdr>
        <w:top w:val="none" w:sz="0" w:space="0" w:color="auto"/>
        <w:left w:val="none" w:sz="0" w:space="0" w:color="auto"/>
        <w:bottom w:val="none" w:sz="0" w:space="0" w:color="auto"/>
        <w:right w:val="none" w:sz="0" w:space="0" w:color="auto"/>
      </w:divBdr>
    </w:div>
    <w:div w:id="1087112220">
      <w:bodyDiv w:val="1"/>
      <w:marLeft w:val="0"/>
      <w:marRight w:val="0"/>
      <w:marTop w:val="0"/>
      <w:marBottom w:val="0"/>
      <w:divBdr>
        <w:top w:val="none" w:sz="0" w:space="0" w:color="auto"/>
        <w:left w:val="none" w:sz="0" w:space="0" w:color="auto"/>
        <w:bottom w:val="none" w:sz="0" w:space="0" w:color="auto"/>
        <w:right w:val="none" w:sz="0" w:space="0" w:color="auto"/>
      </w:divBdr>
    </w:div>
    <w:div w:id="1088968430">
      <w:bodyDiv w:val="1"/>
      <w:marLeft w:val="0"/>
      <w:marRight w:val="0"/>
      <w:marTop w:val="0"/>
      <w:marBottom w:val="0"/>
      <w:divBdr>
        <w:top w:val="none" w:sz="0" w:space="0" w:color="auto"/>
        <w:left w:val="none" w:sz="0" w:space="0" w:color="auto"/>
        <w:bottom w:val="none" w:sz="0" w:space="0" w:color="auto"/>
        <w:right w:val="none" w:sz="0" w:space="0" w:color="auto"/>
      </w:divBdr>
    </w:div>
    <w:div w:id="1096363780">
      <w:bodyDiv w:val="1"/>
      <w:marLeft w:val="0"/>
      <w:marRight w:val="0"/>
      <w:marTop w:val="0"/>
      <w:marBottom w:val="0"/>
      <w:divBdr>
        <w:top w:val="none" w:sz="0" w:space="0" w:color="auto"/>
        <w:left w:val="none" w:sz="0" w:space="0" w:color="auto"/>
        <w:bottom w:val="none" w:sz="0" w:space="0" w:color="auto"/>
        <w:right w:val="none" w:sz="0" w:space="0" w:color="auto"/>
      </w:divBdr>
    </w:div>
    <w:div w:id="1099373865">
      <w:bodyDiv w:val="1"/>
      <w:marLeft w:val="0"/>
      <w:marRight w:val="0"/>
      <w:marTop w:val="0"/>
      <w:marBottom w:val="0"/>
      <w:divBdr>
        <w:top w:val="none" w:sz="0" w:space="0" w:color="auto"/>
        <w:left w:val="none" w:sz="0" w:space="0" w:color="auto"/>
        <w:bottom w:val="none" w:sz="0" w:space="0" w:color="auto"/>
        <w:right w:val="none" w:sz="0" w:space="0" w:color="auto"/>
      </w:divBdr>
    </w:div>
    <w:div w:id="1121732131">
      <w:bodyDiv w:val="1"/>
      <w:marLeft w:val="0"/>
      <w:marRight w:val="0"/>
      <w:marTop w:val="0"/>
      <w:marBottom w:val="0"/>
      <w:divBdr>
        <w:top w:val="none" w:sz="0" w:space="0" w:color="auto"/>
        <w:left w:val="none" w:sz="0" w:space="0" w:color="auto"/>
        <w:bottom w:val="none" w:sz="0" w:space="0" w:color="auto"/>
        <w:right w:val="none" w:sz="0" w:space="0" w:color="auto"/>
      </w:divBdr>
    </w:div>
    <w:div w:id="1165168632">
      <w:bodyDiv w:val="1"/>
      <w:marLeft w:val="0"/>
      <w:marRight w:val="0"/>
      <w:marTop w:val="0"/>
      <w:marBottom w:val="0"/>
      <w:divBdr>
        <w:top w:val="none" w:sz="0" w:space="0" w:color="auto"/>
        <w:left w:val="none" w:sz="0" w:space="0" w:color="auto"/>
        <w:bottom w:val="none" w:sz="0" w:space="0" w:color="auto"/>
        <w:right w:val="none" w:sz="0" w:space="0" w:color="auto"/>
      </w:divBdr>
    </w:div>
    <w:div w:id="1168403645">
      <w:bodyDiv w:val="1"/>
      <w:marLeft w:val="0"/>
      <w:marRight w:val="0"/>
      <w:marTop w:val="0"/>
      <w:marBottom w:val="0"/>
      <w:divBdr>
        <w:top w:val="none" w:sz="0" w:space="0" w:color="auto"/>
        <w:left w:val="none" w:sz="0" w:space="0" w:color="auto"/>
        <w:bottom w:val="none" w:sz="0" w:space="0" w:color="auto"/>
        <w:right w:val="none" w:sz="0" w:space="0" w:color="auto"/>
      </w:divBdr>
    </w:div>
    <w:div w:id="1178425943">
      <w:bodyDiv w:val="1"/>
      <w:marLeft w:val="0"/>
      <w:marRight w:val="0"/>
      <w:marTop w:val="0"/>
      <w:marBottom w:val="0"/>
      <w:divBdr>
        <w:top w:val="none" w:sz="0" w:space="0" w:color="auto"/>
        <w:left w:val="none" w:sz="0" w:space="0" w:color="auto"/>
        <w:bottom w:val="none" w:sz="0" w:space="0" w:color="auto"/>
        <w:right w:val="none" w:sz="0" w:space="0" w:color="auto"/>
      </w:divBdr>
    </w:div>
    <w:div w:id="1201359638">
      <w:bodyDiv w:val="1"/>
      <w:marLeft w:val="0"/>
      <w:marRight w:val="0"/>
      <w:marTop w:val="0"/>
      <w:marBottom w:val="0"/>
      <w:divBdr>
        <w:top w:val="none" w:sz="0" w:space="0" w:color="auto"/>
        <w:left w:val="none" w:sz="0" w:space="0" w:color="auto"/>
        <w:bottom w:val="none" w:sz="0" w:space="0" w:color="auto"/>
        <w:right w:val="none" w:sz="0" w:space="0" w:color="auto"/>
      </w:divBdr>
    </w:div>
    <w:div w:id="1212039884">
      <w:bodyDiv w:val="1"/>
      <w:marLeft w:val="0"/>
      <w:marRight w:val="0"/>
      <w:marTop w:val="0"/>
      <w:marBottom w:val="0"/>
      <w:divBdr>
        <w:top w:val="none" w:sz="0" w:space="0" w:color="auto"/>
        <w:left w:val="none" w:sz="0" w:space="0" w:color="auto"/>
        <w:bottom w:val="none" w:sz="0" w:space="0" w:color="auto"/>
        <w:right w:val="none" w:sz="0" w:space="0" w:color="auto"/>
      </w:divBdr>
    </w:div>
    <w:div w:id="1215652923">
      <w:bodyDiv w:val="1"/>
      <w:marLeft w:val="0"/>
      <w:marRight w:val="0"/>
      <w:marTop w:val="0"/>
      <w:marBottom w:val="0"/>
      <w:divBdr>
        <w:top w:val="none" w:sz="0" w:space="0" w:color="auto"/>
        <w:left w:val="none" w:sz="0" w:space="0" w:color="auto"/>
        <w:bottom w:val="none" w:sz="0" w:space="0" w:color="auto"/>
        <w:right w:val="none" w:sz="0" w:space="0" w:color="auto"/>
      </w:divBdr>
    </w:div>
    <w:div w:id="1221868360">
      <w:bodyDiv w:val="1"/>
      <w:marLeft w:val="0"/>
      <w:marRight w:val="0"/>
      <w:marTop w:val="0"/>
      <w:marBottom w:val="0"/>
      <w:divBdr>
        <w:top w:val="none" w:sz="0" w:space="0" w:color="auto"/>
        <w:left w:val="none" w:sz="0" w:space="0" w:color="auto"/>
        <w:bottom w:val="none" w:sz="0" w:space="0" w:color="auto"/>
        <w:right w:val="none" w:sz="0" w:space="0" w:color="auto"/>
      </w:divBdr>
    </w:div>
    <w:div w:id="1229460677">
      <w:bodyDiv w:val="1"/>
      <w:marLeft w:val="0"/>
      <w:marRight w:val="0"/>
      <w:marTop w:val="0"/>
      <w:marBottom w:val="0"/>
      <w:divBdr>
        <w:top w:val="none" w:sz="0" w:space="0" w:color="auto"/>
        <w:left w:val="none" w:sz="0" w:space="0" w:color="auto"/>
        <w:bottom w:val="none" w:sz="0" w:space="0" w:color="auto"/>
        <w:right w:val="none" w:sz="0" w:space="0" w:color="auto"/>
      </w:divBdr>
    </w:div>
    <w:div w:id="1243762118">
      <w:bodyDiv w:val="1"/>
      <w:marLeft w:val="0"/>
      <w:marRight w:val="0"/>
      <w:marTop w:val="0"/>
      <w:marBottom w:val="0"/>
      <w:divBdr>
        <w:top w:val="none" w:sz="0" w:space="0" w:color="auto"/>
        <w:left w:val="none" w:sz="0" w:space="0" w:color="auto"/>
        <w:bottom w:val="none" w:sz="0" w:space="0" w:color="auto"/>
        <w:right w:val="none" w:sz="0" w:space="0" w:color="auto"/>
      </w:divBdr>
    </w:div>
    <w:div w:id="1259824773">
      <w:bodyDiv w:val="1"/>
      <w:marLeft w:val="0"/>
      <w:marRight w:val="0"/>
      <w:marTop w:val="0"/>
      <w:marBottom w:val="0"/>
      <w:divBdr>
        <w:top w:val="none" w:sz="0" w:space="0" w:color="auto"/>
        <w:left w:val="none" w:sz="0" w:space="0" w:color="auto"/>
        <w:bottom w:val="none" w:sz="0" w:space="0" w:color="auto"/>
        <w:right w:val="none" w:sz="0" w:space="0" w:color="auto"/>
      </w:divBdr>
    </w:div>
    <w:div w:id="1262883679">
      <w:bodyDiv w:val="1"/>
      <w:marLeft w:val="0"/>
      <w:marRight w:val="0"/>
      <w:marTop w:val="0"/>
      <w:marBottom w:val="0"/>
      <w:divBdr>
        <w:top w:val="none" w:sz="0" w:space="0" w:color="auto"/>
        <w:left w:val="none" w:sz="0" w:space="0" w:color="auto"/>
        <w:bottom w:val="none" w:sz="0" w:space="0" w:color="auto"/>
        <w:right w:val="none" w:sz="0" w:space="0" w:color="auto"/>
      </w:divBdr>
    </w:div>
    <w:div w:id="1278566207">
      <w:bodyDiv w:val="1"/>
      <w:marLeft w:val="0"/>
      <w:marRight w:val="0"/>
      <w:marTop w:val="0"/>
      <w:marBottom w:val="0"/>
      <w:divBdr>
        <w:top w:val="none" w:sz="0" w:space="0" w:color="auto"/>
        <w:left w:val="none" w:sz="0" w:space="0" w:color="auto"/>
        <w:bottom w:val="none" w:sz="0" w:space="0" w:color="auto"/>
        <w:right w:val="none" w:sz="0" w:space="0" w:color="auto"/>
      </w:divBdr>
    </w:div>
    <w:div w:id="1279801075">
      <w:bodyDiv w:val="1"/>
      <w:marLeft w:val="0"/>
      <w:marRight w:val="0"/>
      <w:marTop w:val="0"/>
      <w:marBottom w:val="0"/>
      <w:divBdr>
        <w:top w:val="none" w:sz="0" w:space="0" w:color="auto"/>
        <w:left w:val="none" w:sz="0" w:space="0" w:color="auto"/>
        <w:bottom w:val="none" w:sz="0" w:space="0" w:color="auto"/>
        <w:right w:val="none" w:sz="0" w:space="0" w:color="auto"/>
      </w:divBdr>
    </w:div>
    <w:div w:id="1310791179">
      <w:bodyDiv w:val="1"/>
      <w:marLeft w:val="0"/>
      <w:marRight w:val="0"/>
      <w:marTop w:val="0"/>
      <w:marBottom w:val="0"/>
      <w:divBdr>
        <w:top w:val="none" w:sz="0" w:space="0" w:color="auto"/>
        <w:left w:val="none" w:sz="0" w:space="0" w:color="auto"/>
        <w:bottom w:val="none" w:sz="0" w:space="0" w:color="auto"/>
        <w:right w:val="none" w:sz="0" w:space="0" w:color="auto"/>
      </w:divBdr>
    </w:div>
    <w:div w:id="1311444552">
      <w:bodyDiv w:val="1"/>
      <w:marLeft w:val="0"/>
      <w:marRight w:val="0"/>
      <w:marTop w:val="0"/>
      <w:marBottom w:val="0"/>
      <w:divBdr>
        <w:top w:val="none" w:sz="0" w:space="0" w:color="auto"/>
        <w:left w:val="none" w:sz="0" w:space="0" w:color="auto"/>
        <w:bottom w:val="none" w:sz="0" w:space="0" w:color="auto"/>
        <w:right w:val="none" w:sz="0" w:space="0" w:color="auto"/>
      </w:divBdr>
    </w:div>
    <w:div w:id="1316110181">
      <w:bodyDiv w:val="1"/>
      <w:marLeft w:val="0"/>
      <w:marRight w:val="0"/>
      <w:marTop w:val="0"/>
      <w:marBottom w:val="0"/>
      <w:divBdr>
        <w:top w:val="none" w:sz="0" w:space="0" w:color="auto"/>
        <w:left w:val="none" w:sz="0" w:space="0" w:color="auto"/>
        <w:bottom w:val="none" w:sz="0" w:space="0" w:color="auto"/>
        <w:right w:val="none" w:sz="0" w:space="0" w:color="auto"/>
      </w:divBdr>
    </w:div>
    <w:div w:id="1329551975">
      <w:bodyDiv w:val="1"/>
      <w:marLeft w:val="0"/>
      <w:marRight w:val="0"/>
      <w:marTop w:val="0"/>
      <w:marBottom w:val="0"/>
      <w:divBdr>
        <w:top w:val="none" w:sz="0" w:space="0" w:color="auto"/>
        <w:left w:val="none" w:sz="0" w:space="0" w:color="auto"/>
        <w:bottom w:val="none" w:sz="0" w:space="0" w:color="auto"/>
        <w:right w:val="none" w:sz="0" w:space="0" w:color="auto"/>
      </w:divBdr>
    </w:div>
    <w:div w:id="1332296326">
      <w:bodyDiv w:val="1"/>
      <w:marLeft w:val="0"/>
      <w:marRight w:val="0"/>
      <w:marTop w:val="0"/>
      <w:marBottom w:val="0"/>
      <w:divBdr>
        <w:top w:val="none" w:sz="0" w:space="0" w:color="auto"/>
        <w:left w:val="none" w:sz="0" w:space="0" w:color="auto"/>
        <w:bottom w:val="none" w:sz="0" w:space="0" w:color="auto"/>
        <w:right w:val="none" w:sz="0" w:space="0" w:color="auto"/>
      </w:divBdr>
    </w:div>
    <w:div w:id="1333337795">
      <w:bodyDiv w:val="1"/>
      <w:marLeft w:val="0"/>
      <w:marRight w:val="0"/>
      <w:marTop w:val="0"/>
      <w:marBottom w:val="0"/>
      <w:divBdr>
        <w:top w:val="none" w:sz="0" w:space="0" w:color="auto"/>
        <w:left w:val="none" w:sz="0" w:space="0" w:color="auto"/>
        <w:bottom w:val="none" w:sz="0" w:space="0" w:color="auto"/>
        <w:right w:val="none" w:sz="0" w:space="0" w:color="auto"/>
      </w:divBdr>
    </w:div>
    <w:div w:id="1337729873">
      <w:bodyDiv w:val="1"/>
      <w:marLeft w:val="0"/>
      <w:marRight w:val="0"/>
      <w:marTop w:val="0"/>
      <w:marBottom w:val="0"/>
      <w:divBdr>
        <w:top w:val="none" w:sz="0" w:space="0" w:color="auto"/>
        <w:left w:val="none" w:sz="0" w:space="0" w:color="auto"/>
        <w:bottom w:val="none" w:sz="0" w:space="0" w:color="auto"/>
        <w:right w:val="none" w:sz="0" w:space="0" w:color="auto"/>
      </w:divBdr>
    </w:div>
    <w:div w:id="1355812081">
      <w:bodyDiv w:val="1"/>
      <w:marLeft w:val="0"/>
      <w:marRight w:val="0"/>
      <w:marTop w:val="0"/>
      <w:marBottom w:val="0"/>
      <w:divBdr>
        <w:top w:val="none" w:sz="0" w:space="0" w:color="auto"/>
        <w:left w:val="none" w:sz="0" w:space="0" w:color="auto"/>
        <w:bottom w:val="none" w:sz="0" w:space="0" w:color="auto"/>
        <w:right w:val="none" w:sz="0" w:space="0" w:color="auto"/>
      </w:divBdr>
    </w:div>
    <w:div w:id="1357347326">
      <w:bodyDiv w:val="1"/>
      <w:marLeft w:val="0"/>
      <w:marRight w:val="0"/>
      <w:marTop w:val="0"/>
      <w:marBottom w:val="0"/>
      <w:divBdr>
        <w:top w:val="none" w:sz="0" w:space="0" w:color="auto"/>
        <w:left w:val="none" w:sz="0" w:space="0" w:color="auto"/>
        <w:bottom w:val="none" w:sz="0" w:space="0" w:color="auto"/>
        <w:right w:val="none" w:sz="0" w:space="0" w:color="auto"/>
      </w:divBdr>
    </w:div>
    <w:div w:id="1358580723">
      <w:bodyDiv w:val="1"/>
      <w:marLeft w:val="0"/>
      <w:marRight w:val="0"/>
      <w:marTop w:val="0"/>
      <w:marBottom w:val="0"/>
      <w:divBdr>
        <w:top w:val="none" w:sz="0" w:space="0" w:color="auto"/>
        <w:left w:val="none" w:sz="0" w:space="0" w:color="auto"/>
        <w:bottom w:val="none" w:sz="0" w:space="0" w:color="auto"/>
        <w:right w:val="none" w:sz="0" w:space="0" w:color="auto"/>
      </w:divBdr>
    </w:div>
    <w:div w:id="1380739822">
      <w:bodyDiv w:val="1"/>
      <w:marLeft w:val="0"/>
      <w:marRight w:val="0"/>
      <w:marTop w:val="0"/>
      <w:marBottom w:val="0"/>
      <w:divBdr>
        <w:top w:val="none" w:sz="0" w:space="0" w:color="auto"/>
        <w:left w:val="none" w:sz="0" w:space="0" w:color="auto"/>
        <w:bottom w:val="none" w:sz="0" w:space="0" w:color="auto"/>
        <w:right w:val="none" w:sz="0" w:space="0" w:color="auto"/>
      </w:divBdr>
    </w:div>
    <w:div w:id="1388921468">
      <w:bodyDiv w:val="1"/>
      <w:marLeft w:val="0"/>
      <w:marRight w:val="0"/>
      <w:marTop w:val="0"/>
      <w:marBottom w:val="0"/>
      <w:divBdr>
        <w:top w:val="none" w:sz="0" w:space="0" w:color="auto"/>
        <w:left w:val="none" w:sz="0" w:space="0" w:color="auto"/>
        <w:bottom w:val="none" w:sz="0" w:space="0" w:color="auto"/>
        <w:right w:val="none" w:sz="0" w:space="0" w:color="auto"/>
      </w:divBdr>
    </w:div>
    <w:div w:id="1391222577">
      <w:bodyDiv w:val="1"/>
      <w:marLeft w:val="0"/>
      <w:marRight w:val="0"/>
      <w:marTop w:val="0"/>
      <w:marBottom w:val="0"/>
      <w:divBdr>
        <w:top w:val="none" w:sz="0" w:space="0" w:color="auto"/>
        <w:left w:val="none" w:sz="0" w:space="0" w:color="auto"/>
        <w:bottom w:val="none" w:sz="0" w:space="0" w:color="auto"/>
        <w:right w:val="none" w:sz="0" w:space="0" w:color="auto"/>
      </w:divBdr>
    </w:div>
    <w:div w:id="1419591774">
      <w:bodyDiv w:val="1"/>
      <w:marLeft w:val="0"/>
      <w:marRight w:val="0"/>
      <w:marTop w:val="0"/>
      <w:marBottom w:val="0"/>
      <w:divBdr>
        <w:top w:val="none" w:sz="0" w:space="0" w:color="auto"/>
        <w:left w:val="none" w:sz="0" w:space="0" w:color="auto"/>
        <w:bottom w:val="none" w:sz="0" w:space="0" w:color="auto"/>
        <w:right w:val="none" w:sz="0" w:space="0" w:color="auto"/>
      </w:divBdr>
    </w:div>
    <w:div w:id="1432386965">
      <w:bodyDiv w:val="1"/>
      <w:marLeft w:val="0"/>
      <w:marRight w:val="0"/>
      <w:marTop w:val="0"/>
      <w:marBottom w:val="0"/>
      <w:divBdr>
        <w:top w:val="none" w:sz="0" w:space="0" w:color="auto"/>
        <w:left w:val="none" w:sz="0" w:space="0" w:color="auto"/>
        <w:bottom w:val="none" w:sz="0" w:space="0" w:color="auto"/>
        <w:right w:val="none" w:sz="0" w:space="0" w:color="auto"/>
      </w:divBdr>
    </w:div>
    <w:div w:id="1453817223">
      <w:bodyDiv w:val="1"/>
      <w:marLeft w:val="0"/>
      <w:marRight w:val="0"/>
      <w:marTop w:val="0"/>
      <w:marBottom w:val="0"/>
      <w:divBdr>
        <w:top w:val="none" w:sz="0" w:space="0" w:color="auto"/>
        <w:left w:val="none" w:sz="0" w:space="0" w:color="auto"/>
        <w:bottom w:val="none" w:sz="0" w:space="0" w:color="auto"/>
        <w:right w:val="none" w:sz="0" w:space="0" w:color="auto"/>
      </w:divBdr>
    </w:div>
    <w:div w:id="1455447700">
      <w:bodyDiv w:val="1"/>
      <w:marLeft w:val="0"/>
      <w:marRight w:val="0"/>
      <w:marTop w:val="0"/>
      <w:marBottom w:val="0"/>
      <w:divBdr>
        <w:top w:val="none" w:sz="0" w:space="0" w:color="auto"/>
        <w:left w:val="none" w:sz="0" w:space="0" w:color="auto"/>
        <w:bottom w:val="none" w:sz="0" w:space="0" w:color="auto"/>
        <w:right w:val="none" w:sz="0" w:space="0" w:color="auto"/>
      </w:divBdr>
    </w:div>
    <w:div w:id="1471169019">
      <w:bodyDiv w:val="1"/>
      <w:marLeft w:val="0"/>
      <w:marRight w:val="0"/>
      <w:marTop w:val="0"/>
      <w:marBottom w:val="0"/>
      <w:divBdr>
        <w:top w:val="none" w:sz="0" w:space="0" w:color="auto"/>
        <w:left w:val="none" w:sz="0" w:space="0" w:color="auto"/>
        <w:bottom w:val="none" w:sz="0" w:space="0" w:color="auto"/>
        <w:right w:val="none" w:sz="0" w:space="0" w:color="auto"/>
      </w:divBdr>
    </w:div>
    <w:div w:id="1486166525">
      <w:bodyDiv w:val="1"/>
      <w:marLeft w:val="0"/>
      <w:marRight w:val="0"/>
      <w:marTop w:val="0"/>
      <w:marBottom w:val="0"/>
      <w:divBdr>
        <w:top w:val="none" w:sz="0" w:space="0" w:color="auto"/>
        <w:left w:val="none" w:sz="0" w:space="0" w:color="auto"/>
        <w:bottom w:val="none" w:sz="0" w:space="0" w:color="auto"/>
        <w:right w:val="none" w:sz="0" w:space="0" w:color="auto"/>
      </w:divBdr>
    </w:div>
    <w:div w:id="1496602747">
      <w:bodyDiv w:val="1"/>
      <w:marLeft w:val="0"/>
      <w:marRight w:val="0"/>
      <w:marTop w:val="0"/>
      <w:marBottom w:val="0"/>
      <w:divBdr>
        <w:top w:val="none" w:sz="0" w:space="0" w:color="auto"/>
        <w:left w:val="none" w:sz="0" w:space="0" w:color="auto"/>
        <w:bottom w:val="none" w:sz="0" w:space="0" w:color="auto"/>
        <w:right w:val="none" w:sz="0" w:space="0" w:color="auto"/>
      </w:divBdr>
    </w:div>
    <w:div w:id="1506702941">
      <w:bodyDiv w:val="1"/>
      <w:marLeft w:val="0"/>
      <w:marRight w:val="0"/>
      <w:marTop w:val="0"/>
      <w:marBottom w:val="0"/>
      <w:divBdr>
        <w:top w:val="none" w:sz="0" w:space="0" w:color="auto"/>
        <w:left w:val="none" w:sz="0" w:space="0" w:color="auto"/>
        <w:bottom w:val="none" w:sz="0" w:space="0" w:color="auto"/>
        <w:right w:val="none" w:sz="0" w:space="0" w:color="auto"/>
      </w:divBdr>
    </w:div>
    <w:div w:id="1518036086">
      <w:bodyDiv w:val="1"/>
      <w:marLeft w:val="0"/>
      <w:marRight w:val="0"/>
      <w:marTop w:val="0"/>
      <w:marBottom w:val="0"/>
      <w:divBdr>
        <w:top w:val="none" w:sz="0" w:space="0" w:color="auto"/>
        <w:left w:val="none" w:sz="0" w:space="0" w:color="auto"/>
        <w:bottom w:val="none" w:sz="0" w:space="0" w:color="auto"/>
        <w:right w:val="none" w:sz="0" w:space="0" w:color="auto"/>
      </w:divBdr>
    </w:div>
    <w:div w:id="1540318005">
      <w:bodyDiv w:val="1"/>
      <w:marLeft w:val="0"/>
      <w:marRight w:val="0"/>
      <w:marTop w:val="0"/>
      <w:marBottom w:val="0"/>
      <w:divBdr>
        <w:top w:val="none" w:sz="0" w:space="0" w:color="auto"/>
        <w:left w:val="none" w:sz="0" w:space="0" w:color="auto"/>
        <w:bottom w:val="none" w:sz="0" w:space="0" w:color="auto"/>
        <w:right w:val="none" w:sz="0" w:space="0" w:color="auto"/>
      </w:divBdr>
    </w:div>
    <w:div w:id="1547452588">
      <w:bodyDiv w:val="1"/>
      <w:marLeft w:val="0"/>
      <w:marRight w:val="0"/>
      <w:marTop w:val="0"/>
      <w:marBottom w:val="0"/>
      <w:divBdr>
        <w:top w:val="none" w:sz="0" w:space="0" w:color="auto"/>
        <w:left w:val="none" w:sz="0" w:space="0" w:color="auto"/>
        <w:bottom w:val="none" w:sz="0" w:space="0" w:color="auto"/>
        <w:right w:val="none" w:sz="0" w:space="0" w:color="auto"/>
      </w:divBdr>
    </w:div>
    <w:div w:id="1555850161">
      <w:bodyDiv w:val="1"/>
      <w:marLeft w:val="0"/>
      <w:marRight w:val="0"/>
      <w:marTop w:val="0"/>
      <w:marBottom w:val="0"/>
      <w:divBdr>
        <w:top w:val="none" w:sz="0" w:space="0" w:color="auto"/>
        <w:left w:val="none" w:sz="0" w:space="0" w:color="auto"/>
        <w:bottom w:val="none" w:sz="0" w:space="0" w:color="auto"/>
        <w:right w:val="none" w:sz="0" w:space="0" w:color="auto"/>
      </w:divBdr>
    </w:div>
    <w:div w:id="1563786729">
      <w:bodyDiv w:val="1"/>
      <w:marLeft w:val="0"/>
      <w:marRight w:val="0"/>
      <w:marTop w:val="0"/>
      <w:marBottom w:val="0"/>
      <w:divBdr>
        <w:top w:val="none" w:sz="0" w:space="0" w:color="auto"/>
        <w:left w:val="none" w:sz="0" w:space="0" w:color="auto"/>
        <w:bottom w:val="none" w:sz="0" w:space="0" w:color="auto"/>
        <w:right w:val="none" w:sz="0" w:space="0" w:color="auto"/>
      </w:divBdr>
    </w:div>
    <w:div w:id="1574121613">
      <w:bodyDiv w:val="1"/>
      <w:marLeft w:val="0"/>
      <w:marRight w:val="0"/>
      <w:marTop w:val="0"/>
      <w:marBottom w:val="0"/>
      <w:divBdr>
        <w:top w:val="none" w:sz="0" w:space="0" w:color="auto"/>
        <w:left w:val="none" w:sz="0" w:space="0" w:color="auto"/>
        <w:bottom w:val="none" w:sz="0" w:space="0" w:color="auto"/>
        <w:right w:val="none" w:sz="0" w:space="0" w:color="auto"/>
      </w:divBdr>
    </w:div>
    <w:div w:id="1577664531">
      <w:bodyDiv w:val="1"/>
      <w:marLeft w:val="0"/>
      <w:marRight w:val="0"/>
      <w:marTop w:val="0"/>
      <w:marBottom w:val="0"/>
      <w:divBdr>
        <w:top w:val="none" w:sz="0" w:space="0" w:color="auto"/>
        <w:left w:val="none" w:sz="0" w:space="0" w:color="auto"/>
        <w:bottom w:val="none" w:sz="0" w:space="0" w:color="auto"/>
        <w:right w:val="none" w:sz="0" w:space="0" w:color="auto"/>
      </w:divBdr>
    </w:div>
    <w:div w:id="1597714708">
      <w:bodyDiv w:val="1"/>
      <w:marLeft w:val="0"/>
      <w:marRight w:val="0"/>
      <w:marTop w:val="0"/>
      <w:marBottom w:val="0"/>
      <w:divBdr>
        <w:top w:val="none" w:sz="0" w:space="0" w:color="auto"/>
        <w:left w:val="none" w:sz="0" w:space="0" w:color="auto"/>
        <w:bottom w:val="none" w:sz="0" w:space="0" w:color="auto"/>
        <w:right w:val="none" w:sz="0" w:space="0" w:color="auto"/>
      </w:divBdr>
    </w:div>
    <w:div w:id="1602489200">
      <w:bodyDiv w:val="1"/>
      <w:marLeft w:val="0"/>
      <w:marRight w:val="0"/>
      <w:marTop w:val="0"/>
      <w:marBottom w:val="0"/>
      <w:divBdr>
        <w:top w:val="none" w:sz="0" w:space="0" w:color="auto"/>
        <w:left w:val="none" w:sz="0" w:space="0" w:color="auto"/>
        <w:bottom w:val="none" w:sz="0" w:space="0" w:color="auto"/>
        <w:right w:val="none" w:sz="0" w:space="0" w:color="auto"/>
      </w:divBdr>
    </w:div>
    <w:div w:id="1621838645">
      <w:bodyDiv w:val="1"/>
      <w:marLeft w:val="0"/>
      <w:marRight w:val="0"/>
      <w:marTop w:val="0"/>
      <w:marBottom w:val="0"/>
      <w:divBdr>
        <w:top w:val="none" w:sz="0" w:space="0" w:color="auto"/>
        <w:left w:val="none" w:sz="0" w:space="0" w:color="auto"/>
        <w:bottom w:val="none" w:sz="0" w:space="0" w:color="auto"/>
        <w:right w:val="none" w:sz="0" w:space="0" w:color="auto"/>
      </w:divBdr>
    </w:div>
    <w:div w:id="1622956995">
      <w:bodyDiv w:val="1"/>
      <w:marLeft w:val="0"/>
      <w:marRight w:val="0"/>
      <w:marTop w:val="0"/>
      <w:marBottom w:val="0"/>
      <w:divBdr>
        <w:top w:val="none" w:sz="0" w:space="0" w:color="auto"/>
        <w:left w:val="none" w:sz="0" w:space="0" w:color="auto"/>
        <w:bottom w:val="none" w:sz="0" w:space="0" w:color="auto"/>
        <w:right w:val="none" w:sz="0" w:space="0" w:color="auto"/>
      </w:divBdr>
    </w:div>
    <w:div w:id="1625116827">
      <w:bodyDiv w:val="1"/>
      <w:marLeft w:val="0"/>
      <w:marRight w:val="0"/>
      <w:marTop w:val="0"/>
      <w:marBottom w:val="0"/>
      <w:divBdr>
        <w:top w:val="none" w:sz="0" w:space="0" w:color="auto"/>
        <w:left w:val="none" w:sz="0" w:space="0" w:color="auto"/>
        <w:bottom w:val="none" w:sz="0" w:space="0" w:color="auto"/>
        <w:right w:val="none" w:sz="0" w:space="0" w:color="auto"/>
      </w:divBdr>
    </w:div>
    <w:div w:id="1648052020">
      <w:bodyDiv w:val="1"/>
      <w:marLeft w:val="0"/>
      <w:marRight w:val="0"/>
      <w:marTop w:val="0"/>
      <w:marBottom w:val="0"/>
      <w:divBdr>
        <w:top w:val="none" w:sz="0" w:space="0" w:color="auto"/>
        <w:left w:val="none" w:sz="0" w:space="0" w:color="auto"/>
        <w:bottom w:val="none" w:sz="0" w:space="0" w:color="auto"/>
        <w:right w:val="none" w:sz="0" w:space="0" w:color="auto"/>
      </w:divBdr>
    </w:div>
    <w:div w:id="1653825469">
      <w:bodyDiv w:val="1"/>
      <w:marLeft w:val="0"/>
      <w:marRight w:val="0"/>
      <w:marTop w:val="0"/>
      <w:marBottom w:val="0"/>
      <w:divBdr>
        <w:top w:val="none" w:sz="0" w:space="0" w:color="auto"/>
        <w:left w:val="none" w:sz="0" w:space="0" w:color="auto"/>
        <w:bottom w:val="none" w:sz="0" w:space="0" w:color="auto"/>
        <w:right w:val="none" w:sz="0" w:space="0" w:color="auto"/>
      </w:divBdr>
    </w:div>
    <w:div w:id="1666587228">
      <w:bodyDiv w:val="1"/>
      <w:marLeft w:val="0"/>
      <w:marRight w:val="0"/>
      <w:marTop w:val="0"/>
      <w:marBottom w:val="0"/>
      <w:divBdr>
        <w:top w:val="none" w:sz="0" w:space="0" w:color="auto"/>
        <w:left w:val="none" w:sz="0" w:space="0" w:color="auto"/>
        <w:bottom w:val="none" w:sz="0" w:space="0" w:color="auto"/>
        <w:right w:val="none" w:sz="0" w:space="0" w:color="auto"/>
      </w:divBdr>
    </w:div>
    <w:div w:id="1666740045">
      <w:bodyDiv w:val="1"/>
      <w:marLeft w:val="0"/>
      <w:marRight w:val="0"/>
      <w:marTop w:val="0"/>
      <w:marBottom w:val="0"/>
      <w:divBdr>
        <w:top w:val="none" w:sz="0" w:space="0" w:color="auto"/>
        <w:left w:val="none" w:sz="0" w:space="0" w:color="auto"/>
        <w:bottom w:val="none" w:sz="0" w:space="0" w:color="auto"/>
        <w:right w:val="none" w:sz="0" w:space="0" w:color="auto"/>
      </w:divBdr>
    </w:div>
    <w:div w:id="1668166432">
      <w:bodyDiv w:val="1"/>
      <w:marLeft w:val="0"/>
      <w:marRight w:val="0"/>
      <w:marTop w:val="0"/>
      <w:marBottom w:val="0"/>
      <w:divBdr>
        <w:top w:val="none" w:sz="0" w:space="0" w:color="auto"/>
        <w:left w:val="none" w:sz="0" w:space="0" w:color="auto"/>
        <w:bottom w:val="none" w:sz="0" w:space="0" w:color="auto"/>
        <w:right w:val="none" w:sz="0" w:space="0" w:color="auto"/>
      </w:divBdr>
    </w:div>
    <w:div w:id="1675297871">
      <w:bodyDiv w:val="1"/>
      <w:marLeft w:val="0"/>
      <w:marRight w:val="0"/>
      <w:marTop w:val="0"/>
      <w:marBottom w:val="0"/>
      <w:divBdr>
        <w:top w:val="none" w:sz="0" w:space="0" w:color="auto"/>
        <w:left w:val="none" w:sz="0" w:space="0" w:color="auto"/>
        <w:bottom w:val="none" w:sz="0" w:space="0" w:color="auto"/>
        <w:right w:val="none" w:sz="0" w:space="0" w:color="auto"/>
      </w:divBdr>
    </w:div>
    <w:div w:id="1678196245">
      <w:bodyDiv w:val="1"/>
      <w:marLeft w:val="0"/>
      <w:marRight w:val="0"/>
      <w:marTop w:val="0"/>
      <w:marBottom w:val="0"/>
      <w:divBdr>
        <w:top w:val="none" w:sz="0" w:space="0" w:color="auto"/>
        <w:left w:val="none" w:sz="0" w:space="0" w:color="auto"/>
        <w:bottom w:val="none" w:sz="0" w:space="0" w:color="auto"/>
        <w:right w:val="none" w:sz="0" w:space="0" w:color="auto"/>
      </w:divBdr>
    </w:div>
    <w:div w:id="1687974507">
      <w:bodyDiv w:val="1"/>
      <w:marLeft w:val="0"/>
      <w:marRight w:val="0"/>
      <w:marTop w:val="0"/>
      <w:marBottom w:val="0"/>
      <w:divBdr>
        <w:top w:val="none" w:sz="0" w:space="0" w:color="auto"/>
        <w:left w:val="none" w:sz="0" w:space="0" w:color="auto"/>
        <w:bottom w:val="none" w:sz="0" w:space="0" w:color="auto"/>
        <w:right w:val="none" w:sz="0" w:space="0" w:color="auto"/>
      </w:divBdr>
    </w:div>
    <w:div w:id="1695032738">
      <w:bodyDiv w:val="1"/>
      <w:marLeft w:val="0"/>
      <w:marRight w:val="0"/>
      <w:marTop w:val="0"/>
      <w:marBottom w:val="0"/>
      <w:divBdr>
        <w:top w:val="none" w:sz="0" w:space="0" w:color="auto"/>
        <w:left w:val="none" w:sz="0" w:space="0" w:color="auto"/>
        <w:bottom w:val="none" w:sz="0" w:space="0" w:color="auto"/>
        <w:right w:val="none" w:sz="0" w:space="0" w:color="auto"/>
      </w:divBdr>
    </w:div>
    <w:div w:id="1701054538">
      <w:bodyDiv w:val="1"/>
      <w:marLeft w:val="0"/>
      <w:marRight w:val="0"/>
      <w:marTop w:val="0"/>
      <w:marBottom w:val="0"/>
      <w:divBdr>
        <w:top w:val="none" w:sz="0" w:space="0" w:color="auto"/>
        <w:left w:val="none" w:sz="0" w:space="0" w:color="auto"/>
        <w:bottom w:val="none" w:sz="0" w:space="0" w:color="auto"/>
        <w:right w:val="none" w:sz="0" w:space="0" w:color="auto"/>
      </w:divBdr>
    </w:div>
    <w:div w:id="1722706824">
      <w:bodyDiv w:val="1"/>
      <w:marLeft w:val="0"/>
      <w:marRight w:val="0"/>
      <w:marTop w:val="0"/>
      <w:marBottom w:val="0"/>
      <w:divBdr>
        <w:top w:val="none" w:sz="0" w:space="0" w:color="auto"/>
        <w:left w:val="none" w:sz="0" w:space="0" w:color="auto"/>
        <w:bottom w:val="none" w:sz="0" w:space="0" w:color="auto"/>
        <w:right w:val="none" w:sz="0" w:space="0" w:color="auto"/>
      </w:divBdr>
    </w:div>
    <w:div w:id="1740595589">
      <w:bodyDiv w:val="1"/>
      <w:marLeft w:val="0"/>
      <w:marRight w:val="0"/>
      <w:marTop w:val="0"/>
      <w:marBottom w:val="0"/>
      <w:divBdr>
        <w:top w:val="none" w:sz="0" w:space="0" w:color="auto"/>
        <w:left w:val="none" w:sz="0" w:space="0" w:color="auto"/>
        <w:bottom w:val="none" w:sz="0" w:space="0" w:color="auto"/>
        <w:right w:val="none" w:sz="0" w:space="0" w:color="auto"/>
      </w:divBdr>
    </w:div>
    <w:div w:id="1751273372">
      <w:bodyDiv w:val="1"/>
      <w:marLeft w:val="0"/>
      <w:marRight w:val="0"/>
      <w:marTop w:val="0"/>
      <w:marBottom w:val="0"/>
      <w:divBdr>
        <w:top w:val="none" w:sz="0" w:space="0" w:color="auto"/>
        <w:left w:val="none" w:sz="0" w:space="0" w:color="auto"/>
        <w:bottom w:val="none" w:sz="0" w:space="0" w:color="auto"/>
        <w:right w:val="none" w:sz="0" w:space="0" w:color="auto"/>
      </w:divBdr>
    </w:div>
    <w:div w:id="1761633749">
      <w:bodyDiv w:val="1"/>
      <w:marLeft w:val="0"/>
      <w:marRight w:val="0"/>
      <w:marTop w:val="0"/>
      <w:marBottom w:val="0"/>
      <w:divBdr>
        <w:top w:val="none" w:sz="0" w:space="0" w:color="auto"/>
        <w:left w:val="none" w:sz="0" w:space="0" w:color="auto"/>
        <w:bottom w:val="none" w:sz="0" w:space="0" w:color="auto"/>
        <w:right w:val="none" w:sz="0" w:space="0" w:color="auto"/>
      </w:divBdr>
    </w:div>
    <w:div w:id="1777217207">
      <w:bodyDiv w:val="1"/>
      <w:marLeft w:val="0"/>
      <w:marRight w:val="0"/>
      <w:marTop w:val="0"/>
      <w:marBottom w:val="0"/>
      <w:divBdr>
        <w:top w:val="none" w:sz="0" w:space="0" w:color="auto"/>
        <w:left w:val="none" w:sz="0" w:space="0" w:color="auto"/>
        <w:bottom w:val="none" w:sz="0" w:space="0" w:color="auto"/>
        <w:right w:val="none" w:sz="0" w:space="0" w:color="auto"/>
      </w:divBdr>
    </w:div>
    <w:div w:id="1788743017">
      <w:bodyDiv w:val="1"/>
      <w:marLeft w:val="0"/>
      <w:marRight w:val="0"/>
      <w:marTop w:val="0"/>
      <w:marBottom w:val="0"/>
      <w:divBdr>
        <w:top w:val="none" w:sz="0" w:space="0" w:color="auto"/>
        <w:left w:val="none" w:sz="0" w:space="0" w:color="auto"/>
        <w:bottom w:val="none" w:sz="0" w:space="0" w:color="auto"/>
        <w:right w:val="none" w:sz="0" w:space="0" w:color="auto"/>
      </w:divBdr>
    </w:div>
    <w:div w:id="1791974339">
      <w:bodyDiv w:val="1"/>
      <w:marLeft w:val="0"/>
      <w:marRight w:val="0"/>
      <w:marTop w:val="0"/>
      <w:marBottom w:val="0"/>
      <w:divBdr>
        <w:top w:val="none" w:sz="0" w:space="0" w:color="auto"/>
        <w:left w:val="none" w:sz="0" w:space="0" w:color="auto"/>
        <w:bottom w:val="none" w:sz="0" w:space="0" w:color="auto"/>
        <w:right w:val="none" w:sz="0" w:space="0" w:color="auto"/>
      </w:divBdr>
    </w:div>
    <w:div w:id="1793206787">
      <w:bodyDiv w:val="1"/>
      <w:marLeft w:val="0"/>
      <w:marRight w:val="0"/>
      <w:marTop w:val="0"/>
      <w:marBottom w:val="0"/>
      <w:divBdr>
        <w:top w:val="none" w:sz="0" w:space="0" w:color="auto"/>
        <w:left w:val="none" w:sz="0" w:space="0" w:color="auto"/>
        <w:bottom w:val="none" w:sz="0" w:space="0" w:color="auto"/>
        <w:right w:val="none" w:sz="0" w:space="0" w:color="auto"/>
      </w:divBdr>
    </w:div>
    <w:div w:id="1813863350">
      <w:bodyDiv w:val="1"/>
      <w:marLeft w:val="0"/>
      <w:marRight w:val="0"/>
      <w:marTop w:val="0"/>
      <w:marBottom w:val="0"/>
      <w:divBdr>
        <w:top w:val="none" w:sz="0" w:space="0" w:color="auto"/>
        <w:left w:val="none" w:sz="0" w:space="0" w:color="auto"/>
        <w:bottom w:val="none" w:sz="0" w:space="0" w:color="auto"/>
        <w:right w:val="none" w:sz="0" w:space="0" w:color="auto"/>
      </w:divBdr>
    </w:div>
    <w:div w:id="1834254226">
      <w:bodyDiv w:val="1"/>
      <w:marLeft w:val="0"/>
      <w:marRight w:val="0"/>
      <w:marTop w:val="0"/>
      <w:marBottom w:val="0"/>
      <w:divBdr>
        <w:top w:val="none" w:sz="0" w:space="0" w:color="auto"/>
        <w:left w:val="none" w:sz="0" w:space="0" w:color="auto"/>
        <w:bottom w:val="none" w:sz="0" w:space="0" w:color="auto"/>
        <w:right w:val="none" w:sz="0" w:space="0" w:color="auto"/>
      </w:divBdr>
    </w:div>
    <w:div w:id="1894389334">
      <w:bodyDiv w:val="1"/>
      <w:marLeft w:val="0"/>
      <w:marRight w:val="0"/>
      <w:marTop w:val="0"/>
      <w:marBottom w:val="0"/>
      <w:divBdr>
        <w:top w:val="none" w:sz="0" w:space="0" w:color="auto"/>
        <w:left w:val="none" w:sz="0" w:space="0" w:color="auto"/>
        <w:bottom w:val="none" w:sz="0" w:space="0" w:color="auto"/>
        <w:right w:val="none" w:sz="0" w:space="0" w:color="auto"/>
      </w:divBdr>
    </w:div>
    <w:div w:id="1903175905">
      <w:bodyDiv w:val="1"/>
      <w:marLeft w:val="0"/>
      <w:marRight w:val="0"/>
      <w:marTop w:val="0"/>
      <w:marBottom w:val="0"/>
      <w:divBdr>
        <w:top w:val="none" w:sz="0" w:space="0" w:color="auto"/>
        <w:left w:val="none" w:sz="0" w:space="0" w:color="auto"/>
        <w:bottom w:val="none" w:sz="0" w:space="0" w:color="auto"/>
        <w:right w:val="none" w:sz="0" w:space="0" w:color="auto"/>
      </w:divBdr>
    </w:div>
    <w:div w:id="1903372636">
      <w:bodyDiv w:val="1"/>
      <w:marLeft w:val="0"/>
      <w:marRight w:val="0"/>
      <w:marTop w:val="0"/>
      <w:marBottom w:val="0"/>
      <w:divBdr>
        <w:top w:val="none" w:sz="0" w:space="0" w:color="auto"/>
        <w:left w:val="none" w:sz="0" w:space="0" w:color="auto"/>
        <w:bottom w:val="none" w:sz="0" w:space="0" w:color="auto"/>
        <w:right w:val="none" w:sz="0" w:space="0" w:color="auto"/>
      </w:divBdr>
    </w:div>
    <w:div w:id="1909489089">
      <w:bodyDiv w:val="1"/>
      <w:marLeft w:val="0"/>
      <w:marRight w:val="0"/>
      <w:marTop w:val="0"/>
      <w:marBottom w:val="0"/>
      <w:divBdr>
        <w:top w:val="none" w:sz="0" w:space="0" w:color="auto"/>
        <w:left w:val="none" w:sz="0" w:space="0" w:color="auto"/>
        <w:bottom w:val="none" w:sz="0" w:space="0" w:color="auto"/>
        <w:right w:val="none" w:sz="0" w:space="0" w:color="auto"/>
      </w:divBdr>
    </w:div>
    <w:div w:id="1917548957">
      <w:bodyDiv w:val="1"/>
      <w:marLeft w:val="0"/>
      <w:marRight w:val="0"/>
      <w:marTop w:val="0"/>
      <w:marBottom w:val="0"/>
      <w:divBdr>
        <w:top w:val="none" w:sz="0" w:space="0" w:color="auto"/>
        <w:left w:val="none" w:sz="0" w:space="0" w:color="auto"/>
        <w:bottom w:val="none" w:sz="0" w:space="0" w:color="auto"/>
        <w:right w:val="none" w:sz="0" w:space="0" w:color="auto"/>
      </w:divBdr>
    </w:div>
    <w:div w:id="1917593163">
      <w:bodyDiv w:val="1"/>
      <w:marLeft w:val="0"/>
      <w:marRight w:val="0"/>
      <w:marTop w:val="0"/>
      <w:marBottom w:val="0"/>
      <w:divBdr>
        <w:top w:val="none" w:sz="0" w:space="0" w:color="auto"/>
        <w:left w:val="none" w:sz="0" w:space="0" w:color="auto"/>
        <w:bottom w:val="none" w:sz="0" w:space="0" w:color="auto"/>
        <w:right w:val="none" w:sz="0" w:space="0" w:color="auto"/>
      </w:divBdr>
    </w:div>
    <w:div w:id="1924876334">
      <w:bodyDiv w:val="1"/>
      <w:marLeft w:val="0"/>
      <w:marRight w:val="0"/>
      <w:marTop w:val="0"/>
      <w:marBottom w:val="0"/>
      <w:divBdr>
        <w:top w:val="none" w:sz="0" w:space="0" w:color="auto"/>
        <w:left w:val="none" w:sz="0" w:space="0" w:color="auto"/>
        <w:bottom w:val="none" w:sz="0" w:space="0" w:color="auto"/>
        <w:right w:val="none" w:sz="0" w:space="0" w:color="auto"/>
      </w:divBdr>
    </w:div>
    <w:div w:id="1936791566">
      <w:bodyDiv w:val="1"/>
      <w:marLeft w:val="0"/>
      <w:marRight w:val="0"/>
      <w:marTop w:val="0"/>
      <w:marBottom w:val="0"/>
      <w:divBdr>
        <w:top w:val="none" w:sz="0" w:space="0" w:color="auto"/>
        <w:left w:val="none" w:sz="0" w:space="0" w:color="auto"/>
        <w:bottom w:val="none" w:sz="0" w:space="0" w:color="auto"/>
        <w:right w:val="none" w:sz="0" w:space="0" w:color="auto"/>
      </w:divBdr>
    </w:div>
    <w:div w:id="1957326097">
      <w:bodyDiv w:val="1"/>
      <w:marLeft w:val="0"/>
      <w:marRight w:val="0"/>
      <w:marTop w:val="0"/>
      <w:marBottom w:val="0"/>
      <w:divBdr>
        <w:top w:val="none" w:sz="0" w:space="0" w:color="auto"/>
        <w:left w:val="none" w:sz="0" w:space="0" w:color="auto"/>
        <w:bottom w:val="none" w:sz="0" w:space="0" w:color="auto"/>
        <w:right w:val="none" w:sz="0" w:space="0" w:color="auto"/>
      </w:divBdr>
    </w:div>
    <w:div w:id="1976716430">
      <w:bodyDiv w:val="1"/>
      <w:marLeft w:val="0"/>
      <w:marRight w:val="0"/>
      <w:marTop w:val="0"/>
      <w:marBottom w:val="0"/>
      <w:divBdr>
        <w:top w:val="none" w:sz="0" w:space="0" w:color="auto"/>
        <w:left w:val="none" w:sz="0" w:space="0" w:color="auto"/>
        <w:bottom w:val="none" w:sz="0" w:space="0" w:color="auto"/>
        <w:right w:val="none" w:sz="0" w:space="0" w:color="auto"/>
      </w:divBdr>
    </w:div>
    <w:div w:id="1978410964">
      <w:bodyDiv w:val="1"/>
      <w:marLeft w:val="0"/>
      <w:marRight w:val="0"/>
      <w:marTop w:val="0"/>
      <w:marBottom w:val="0"/>
      <w:divBdr>
        <w:top w:val="none" w:sz="0" w:space="0" w:color="auto"/>
        <w:left w:val="none" w:sz="0" w:space="0" w:color="auto"/>
        <w:bottom w:val="none" w:sz="0" w:space="0" w:color="auto"/>
        <w:right w:val="none" w:sz="0" w:space="0" w:color="auto"/>
      </w:divBdr>
    </w:div>
    <w:div w:id="2004703009">
      <w:bodyDiv w:val="1"/>
      <w:marLeft w:val="0"/>
      <w:marRight w:val="0"/>
      <w:marTop w:val="0"/>
      <w:marBottom w:val="0"/>
      <w:divBdr>
        <w:top w:val="none" w:sz="0" w:space="0" w:color="auto"/>
        <w:left w:val="none" w:sz="0" w:space="0" w:color="auto"/>
        <w:bottom w:val="none" w:sz="0" w:space="0" w:color="auto"/>
        <w:right w:val="none" w:sz="0" w:space="0" w:color="auto"/>
      </w:divBdr>
    </w:div>
    <w:div w:id="2029406037">
      <w:bodyDiv w:val="1"/>
      <w:marLeft w:val="0"/>
      <w:marRight w:val="0"/>
      <w:marTop w:val="0"/>
      <w:marBottom w:val="0"/>
      <w:divBdr>
        <w:top w:val="none" w:sz="0" w:space="0" w:color="auto"/>
        <w:left w:val="none" w:sz="0" w:space="0" w:color="auto"/>
        <w:bottom w:val="none" w:sz="0" w:space="0" w:color="auto"/>
        <w:right w:val="none" w:sz="0" w:space="0" w:color="auto"/>
      </w:divBdr>
    </w:div>
    <w:div w:id="2060086912">
      <w:bodyDiv w:val="1"/>
      <w:marLeft w:val="0"/>
      <w:marRight w:val="0"/>
      <w:marTop w:val="0"/>
      <w:marBottom w:val="0"/>
      <w:divBdr>
        <w:top w:val="none" w:sz="0" w:space="0" w:color="auto"/>
        <w:left w:val="none" w:sz="0" w:space="0" w:color="auto"/>
        <w:bottom w:val="none" w:sz="0" w:space="0" w:color="auto"/>
        <w:right w:val="none" w:sz="0" w:space="0" w:color="auto"/>
      </w:divBdr>
    </w:div>
    <w:div w:id="2065371331">
      <w:bodyDiv w:val="1"/>
      <w:marLeft w:val="0"/>
      <w:marRight w:val="0"/>
      <w:marTop w:val="0"/>
      <w:marBottom w:val="0"/>
      <w:divBdr>
        <w:top w:val="none" w:sz="0" w:space="0" w:color="auto"/>
        <w:left w:val="none" w:sz="0" w:space="0" w:color="auto"/>
        <w:bottom w:val="none" w:sz="0" w:space="0" w:color="auto"/>
        <w:right w:val="none" w:sz="0" w:space="0" w:color="auto"/>
      </w:divBdr>
    </w:div>
    <w:div w:id="2074966872">
      <w:bodyDiv w:val="1"/>
      <w:marLeft w:val="0"/>
      <w:marRight w:val="0"/>
      <w:marTop w:val="0"/>
      <w:marBottom w:val="0"/>
      <w:divBdr>
        <w:top w:val="none" w:sz="0" w:space="0" w:color="auto"/>
        <w:left w:val="none" w:sz="0" w:space="0" w:color="auto"/>
        <w:bottom w:val="none" w:sz="0" w:space="0" w:color="auto"/>
        <w:right w:val="none" w:sz="0" w:space="0" w:color="auto"/>
      </w:divBdr>
    </w:div>
    <w:div w:id="2079982609">
      <w:bodyDiv w:val="1"/>
      <w:marLeft w:val="0"/>
      <w:marRight w:val="0"/>
      <w:marTop w:val="0"/>
      <w:marBottom w:val="0"/>
      <w:divBdr>
        <w:top w:val="none" w:sz="0" w:space="0" w:color="auto"/>
        <w:left w:val="none" w:sz="0" w:space="0" w:color="auto"/>
        <w:bottom w:val="none" w:sz="0" w:space="0" w:color="auto"/>
        <w:right w:val="none" w:sz="0" w:space="0" w:color="auto"/>
      </w:divBdr>
    </w:div>
    <w:div w:id="2083868131">
      <w:bodyDiv w:val="1"/>
      <w:marLeft w:val="0"/>
      <w:marRight w:val="0"/>
      <w:marTop w:val="0"/>
      <w:marBottom w:val="0"/>
      <w:divBdr>
        <w:top w:val="none" w:sz="0" w:space="0" w:color="auto"/>
        <w:left w:val="none" w:sz="0" w:space="0" w:color="auto"/>
        <w:bottom w:val="none" w:sz="0" w:space="0" w:color="auto"/>
        <w:right w:val="none" w:sz="0" w:space="0" w:color="auto"/>
      </w:divBdr>
    </w:div>
    <w:div w:id="2089184249">
      <w:bodyDiv w:val="1"/>
      <w:marLeft w:val="0"/>
      <w:marRight w:val="0"/>
      <w:marTop w:val="0"/>
      <w:marBottom w:val="0"/>
      <w:divBdr>
        <w:top w:val="none" w:sz="0" w:space="0" w:color="auto"/>
        <w:left w:val="none" w:sz="0" w:space="0" w:color="auto"/>
        <w:bottom w:val="none" w:sz="0" w:space="0" w:color="auto"/>
        <w:right w:val="none" w:sz="0" w:space="0" w:color="auto"/>
      </w:divBdr>
    </w:div>
    <w:div w:id="2095394391">
      <w:bodyDiv w:val="1"/>
      <w:marLeft w:val="0"/>
      <w:marRight w:val="0"/>
      <w:marTop w:val="0"/>
      <w:marBottom w:val="0"/>
      <w:divBdr>
        <w:top w:val="none" w:sz="0" w:space="0" w:color="auto"/>
        <w:left w:val="none" w:sz="0" w:space="0" w:color="auto"/>
        <w:bottom w:val="none" w:sz="0" w:space="0" w:color="auto"/>
        <w:right w:val="none" w:sz="0" w:space="0" w:color="auto"/>
      </w:divBdr>
    </w:div>
    <w:div w:id="2096854661">
      <w:bodyDiv w:val="1"/>
      <w:marLeft w:val="0"/>
      <w:marRight w:val="0"/>
      <w:marTop w:val="0"/>
      <w:marBottom w:val="0"/>
      <w:divBdr>
        <w:top w:val="none" w:sz="0" w:space="0" w:color="auto"/>
        <w:left w:val="none" w:sz="0" w:space="0" w:color="auto"/>
        <w:bottom w:val="none" w:sz="0" w:space="0" w:color="auto"/>
        <w:right w:val="none" w:sz="0" w:space="0" w:color="auto"/>
      </w:divBdr>
    </w:div>
    <w:div w:id="2101679012">
      <w:bodyDiv w:val="1"/>
      <w:marLeft w:val="0"/>
      <w:marRight w:val="0"/>
      <w:marTop w:val="0"/>
      <w:marBottom w:val="0"/>
      <w:divBdr>
        <w:top w:val="none" w:sz="0" w:space="0" w:color="auto"/>
        <w:left w:val="none" w:sz="0" w:space="0" w:color="auto"/>
        <w:bottom w:val="none" w:sz="0" w:space="0" w:color="auto"/>
        <w:right w:val="none" w:sz="0" w:space="0" w:color="auto"/>
      </w:divBdr>
    </w:div>
    <w:div w:id="2119175336">
      <w:bodyDiv w:val="1"/>
      <w:marLeft w:val="0"/>
      <w:marRight w:val="0"/>
      <w:marTop w:val="0"/>
      <w:marBottom w:val="0"/>
      <w:divBdr>
        <w:top w:val="none" w:sz="0" w:space="0" w:color="auto"/>
        <w:left w:val="none" w:sz="0" w:space="0" w:color="auto"/>
        <w:bottom w:val="none" w:sz="0" w:space="0" w:color="auto"/>
        <w:right w:val="none" w:sz="0" w:space="0" w:color="auto"/>
      </w:divBdr>
    </w:div>
    <w:div w:id="2120491493">
      <w:bodyDiv w:val="1"/>
      <w:marLeft w:val="0"/>
      <w:marRight w:val="0"/>
      <w:marTop w:val="0"/>
      <w:marBottom w:val="0"/>
      <w:divBdr>
        <w:top w:val="none" w:sz="0" w:space="0" w:color="auto"/>
        <w:left w:val="none" w:sz="0" w:space="0" w:color="auto"/>
        <w:bottom w:val="none" w:sz="0" w:space="0" w:color="auto"/>
        <w:right w:val="none" w:sz="0" w:space="0" w:color="auto"/>
      </w:divBdr>
    </w:div>
    <w:div w:id="2123455718">
      <w:bodyDiv w:val="1"/>
      <w:marLeft w:val="0"/>
      <w:marRight w:val="0"/>
      <w:marTop w:val="0"/>
      <w:marBottom w:val="0"/>
      <w:divBdr>
        <w:top w:val="none" w:sz="0" w:space="0" w:color="auto"/>
        <w:left w:val="none" w:sz="0" w:space="0" w:color="auto"/>
        <w:bottom w:val="none" w:sz="0" w:space="0" w:color="auto"/>
        <w:right w:val="none" w:sz="0" w:space="0" w:color="auto"/>
      </w:divBdr>
    </w:div>
    <w:div w:id="2125230503">
      <w:bodyDiv w:val="1"/>
      <w:marLeft w:val="0"/>
      <w:marRight w:val="0"/>
      <w:marTop w:val="0"/>
      <w:marBottom w:val="0"/>
      <w:divBdr>
        <w:top w:val="none" w:sz="0" w:space="0" w:color="auto"/>
        <w:left w:val="none" w:sz="0" w:space="0" w:color="auto"/>
        <w:bottom w:val="none" w:sz="0" w:space="0" w:color="auto"/>
        <w:right w:val="none" w:sz="0" w:space="0" w:color="auto"/>
      </w:divBdr>
    </w:div>
    <w:div w:id="2131625885">
      <w:bodyDiv w:val="1"/>
      <w:marLeft w:val="0"/>
      <w:marRight w:val="0"/>
      <w:marTop w:val="0"/>
      <w:marBottom w:val="0"/>
      <w:divBdr>
        <w:top w:val="none" w:sz="0" w:space="0" w:color="auto"/>
        <w:left w:val="none" w:sz="0" w:space="0" w:color="auto"/>
        <w:bottom w:val="none" w:sz="0" w:space="0" w:color="auto"/>
        <w:right w:val="none" w:sz="0" w:space="0" w:color="auto"/>
      </w:divBdr>
    </w:div>
    <w:div w:id="214600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2074</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Annex A</vt:lpstr>
    </vt:vector>
  </TitlesOfParts>
  <Company/>
  <LinksUpToDate>false</LinksUpToDate>
  <CharactersWithSpaces>13875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COA - Philippine Charity Sweepstakes Office</dc:creator>
  <cp:lastModifiedBy>Evy Rose L. Lacanlale</cp:lastModifiedBy>
  <cp:revision>12</cp:revision>
  <cp:lastPrinted>2019-06-28T12:39:00Z</cp:lastPrinted>
  <dcterms:created xsi:type="dcterms:W3CDTF">2019-06-28T11:33:00Z</dcterms:created>
  <dcterms:modified xsi:type="dcterms:W3CDTF">2019-07-08T06:36:00Z</dcterms:modified>
</cp:coreProperties>
</file>